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Quote"/>
        <w:pBdr>
          <w:top w:val="single" w:sz="4" w:space="0" w:color="1F497D"/>
          <w:left w:val="single" w:sz="4" w:space="4" w:color="1F497D"/>
          <w:bottom w:val="single" w:sz="4" w:space="1" w:color="1F497D"/>
          <w:right w:val="single" w:sz="4" w:space="4" w:color="1F497D"/>
        </w:pBdr>
        <w:spacing w:lineRule="auto" w:line="276" w:before="120" w:after="0"/>
        <w:rPr>
          <w:rFonts w:cs="Arial"/>
          <w:b/>
          <w:b/>
          <w:bCs/>
          <w:i w:val="false"/>
          <w:i w:val="false"/>
          <w:iCs w:val="false"/>
          <w:szCs w:val="20"/>
        </w:rPr>
      </w:pPr>
      <w:r>
        <w:rPr>
          <w:rFonts w:cs="Arial"/>
          <w:b/>
          <w:bCs/>
          <w:i w:val="false"/>
          <w:iCs w:val="false"/>
          <w:szCs w:val="20"/>
        </w:rPr>
        <w:t xml:space="preserve">NOTAS EXPLICATIVAS </w:t>
      </w:r>
    </w:p>
    <w:p>
      <w:pPr>
        <w:pStyle w:val="Quote"/>
        <w:pBdr>
          <w:top w:val="single" w:sz="4" w:space="0" w:color="1F497D"/>
          <w:left w:val="single" w:sz="4" w:space="4" w:color="1F497D"/>
          <w:bottom w:val="single" w:sz="4" w:space="1" w:color="1F497D"/>
          <w:right w:val="single" w:sz="4" w:space="4" w:color="1F497D"/>
        </w:pBdr>
        <w:spacing w:lineRule="auto" w:line="276"/>
        <w:rPr>
          <w:rFonts w:cs="Arial"/>
          <w:szCs w:val="20"/>
        </w:rPr>
      </w:pPr>
      <w:r>
        <w:rPr>
          <w:rFonts w:cs="Arial"/>
          <w:szCs w:val="20"/>
        </w:rPr>
        <w:t xml:space="preserve">O presente modelo de aviso de dispensa foi elaborado com fundamento na Lei nº 14.133/21 e na IN SEGES/ME nº 67/21. </w:t>
      </w:r>
      <w:r>
        <w:rPr>
          <w:rFonts w:cs="Arial"/>
          <w:color w:val="000000" w:themeColor="text1"/>
          <w:szCs w:val="20"/>
        </w:rPr>
        <w:t xml:space="preserve">Eventuais sugestões de alteração de texto do referido modelo de aviso de contratação direta poderão ser encaminhadas </w:t>
      </w:r>
      <w:r>
        <w:rPr>
          <w:rFonts w:cs="Arial"/>
          <w:szCs w:val="20"/>
        </w:rPr>
        <w:t xml:space="preserve">ao e-mail: </w:t>
      </w:r>
      <w:hyperlink r:id="rId2">
        <w:r>
          <w:rPr>
            <w:rStyle w:val="LinkdaInternet"/>
            <w:rFonts w:cs="Arial"/>
          </w:rPr>
          <w:t>cgu.modeloscontratacao@agu.gov.br</w:t>
        </w:r>
      </w:hyperlink>
      <w:r>
        <w:rPr>
          <w:rStyle w:val="LinkdaInternet"/>
          <w:rFonts w:cs="Arial"/>
          <w:szCs w:val="20"/>
        </w:rPr>
        <w:t>.</w:t>
      </w:r>
    </w:p>
    <w:p>
      <w:pPr>
        <w:pStyle w:val="Quote"/>
        <w:pBdr>
          <w:top w:val="single" w:sz="4" w:space="0" w:color="1F497D"/>
          <w:left w:val="single" w:sz="4" w:space="4" w:color="1F497D"/>
          <w:bottom w:val="single" w:sz="4" w:space="1" w:color="1F497D"/>
          <w:right w:val="single" w:sz="4" w:space="4" w:color="1F497D"/>
        </w:pBdr>
        <w:spacing w:lineRule="auto" w:line="276"/>
        <w:rPr>
          <w:rFonts w:cs="Arial"/>
          <w:color w:val="00B0F0"/>
          <w:szCs w:val="20"/>
        </w:rPr>
      </w:pPr>
      <w:r>
        <w:rPr>
          <w:rFonts w:cs="Arial"/>
          <w:szCs w:val="20"/>
        </w:rPr>
        <w:t>Os itens deste modelo de Aviso de Contratação Direta destacados em vermelho itálico devem ser preenchidos ou adotados pelo órgão ou entidade pública contratante, de acordo com as peculiaridades do objeto da dispensa e critérios de oportunidade e conveniência, cuidando-se para que sejam reproduzidas as mesmas definições nos demais instrumentos, para que não conflitem</w:t>
      </w:r>
      <w:r>
        <w:rPr>
          <w:rFonts w:cs="Arial"/>
          <w:color w:val="00B0F0"/>
          <w:szCs w:val="20"/>
        </w:rPr>
        <w:t xml:space="preserve">. </w:t>
      </w:r>
    </w:p>
    <w:p>
      <w:pPr>
        <w:pStyle w:val="Quote"/>
        <w:pBdr>
          <w:top w:val="single" w:sz="4" w:space="0" w:color="1F497D"/>
          <w:left w:val="single" w:sz="4" w:space="4" w:color="1F497D"/>
          <w:bottom w:val="single" w:sz="4" w:space="1" w:color="1F497D"/>
          <w:right w:val="single" w:sz="4" w:space="4" w:color="1F497D"/>
        </w:pBdr>
        <w:spacing w:lineRule="auto" w:line="276"/>
        <w:rPr>
          <w:rFonts w:cs="Arial"/>
          <w:szCs w:val="20"/>
        </w:rPr>
      </w:pPr>
      <w:r>
        <w:rPr>
          <w:rFonts w:cs="Arial"/>
          <w:szCs w:val="20"/>
        </w:rPr>
        <w:t>Alguns itens receberam notas explicativas destacadas para orientação do agente ou setor responsável pela elaboração das minutas. Tais notas deverão ser suprimidas quando da finalização do documento.</w:t>
      </w:r>
    </w:p>
    <w:p>
      <w:pPr>
        <w:pStyle w:val="Quote"/>
        <w:pBdr>
          <w:top w:val="single" w:sz="4" w:space="0" w:color="1F497D"/>
          <w:left w:val="single" w:sz="4" w:space="4" w:color="1F497D"/>
          <w:bottom w:val="single" w:sz="4" w:space="1" w:color="1F497D"/>
          <w:right w:val="single" w:sz="4" w:space="4" w:color="1F497D"/>
        </w:pBdr>
        <w:spacing w:lineRule="auto" w:line="276"/>
        <w:rPr>
          <w:rFonts w:cs="Arial"/>
          <w:color w:val="000000" w:themeColor="text1"/>
          <w:szCs w:val="20"/>
        </w:rPr>
      </w:pPr>
      <w:r>
        <w:rPr>
          <w:rFonts w:cs="Arial"/>
          <w:b/>
          <w:szCs w:val="20"/>
        </w:rPr>
        <w:t xml:space="preserve">Sistema de Cores: </w:t>
      </w:r>
      <w:r>
        <w:rPr>
          <w:rFonts w:cs="Arial"/>
          <w:szCs w:val="20"/>
        </w:rPr>
        <w:t>Para facilitar o ajuste do Aviso de Contratação Direta ao tipo de contratação, s</w:t>
      </w:r>
      <w:r>
        <w:rPr>
          <w:rFonts w:cs="Arial"/>
          <w:color w:val="000000" w:themeColor="text1"/>
          <w:szCs w:val="20"/>
        </w:rPr>
        <w:t xml:space="preserve">e não for permitida a participação de cooperativas, exclua todas as disposições destacadas em </w:t>
      </w:r>
      <w:r>
        <w:rPr>
          <w:rFonts w:cs="Arial"/>
          <w:color w:val="000000" w:themeColor="text1"/>
          <w:szCs w:val="20"/>
          <w:highlight w:val="green"/>
        </w:rPr>
        <w:t>verde</w:t>
      </w:r>
      <w:r>
        <w:rPr>
          <w:rFonts w:cs="Arial"/>
          <w:color w:val="000000" w:themeColor="text1"/>
          <w:szCs w:val="20"/>
        </w:rPr>
        <w:t>. Se for permitida a participação de cooperativas, elas devem ser mantidas.</w:t>
      </w:r>
    </w:p>
    <w:p>
      <w:pPr>
        <w:pStyle w:val="Normal"/>
        <w:spacing w:lineRule="auto" w:line="276"/>
        <w:jc w:val="center"/>
        <w:rPr>
          <w:rFonts w:cs="Arial"/>
          <w:b/>
          <w:b/>
          <w:bCs/>
          <w:i/>
          <w:i/>
          <w:iCs/>
          <w:color w:val="FF0000"/>
          <w:szCs w:val="20"/>
        </w:rPr>
      </w:pPr>
      <w:r>
        <w:rPr>
          <w:rFonts w:cs="Arial"/>
          <w:b/>
          <w:bCs/>
          <w:i/>
          <w:iCs/>
          <w:color w:val="FF0000"/>
          <w:szCs w:val="20"/>
        </w:rPr>
      </w:r>
    </w:p>
    <w:p>
      <w:pPr>
        <w:pStyle w:val="Normal"/>
        <w:spacing w:lineRule="auto" w:line="276"/>
        <w:jc w:val="center"/>
        <w:rPr>
          <w:i w:val="false"/>
          <w:i w:val="false"/>
          <w:iCs w:val="false"/>
          <w:highlight w:val="none"/>
          <w:shd w:fill="FFFF00" w:val="clear"/>
        </w:rPr>
      </w:pPr>
      <w:r>
        <w:rPr>
          <w:rFonts w:cs="Arial"/>
          <w:b/>
          <w:bCs/>
          <w:i w:val="false"/>
          <w:iCs w:val="false"/>
          <w:color w:val="FF0000"/>
          <w:szCs w:val="20"/>
          <w:shd w:fill="FFFF00" w:val="clear"/>
        </w:rPr>
        <w:t>UNIVERSIDADE FEDERAL DE JATAÍ – UFJ</w:t>
      </w:r>
    </w:p>
    <w:p>
      <w:pPr>
        <w:pStyle w:val="Normal"/>
        <w:spacing w:lineRule="auto" w:line="276"/>
        <w:jc w:val="center"/>
        <w:rPr>
          <w:rFonts w:cs="Arial"/>
          <w:b/>
          <w:b/>
          <w:bCs/>
          <w:color w:val="000000" w:themeColor="text1"/>
          <w:szCs w:val="20"/>
        </w:rPr>
      </w:pPr>
      <w:r>
        <w:rPr>
          <w:rFonts w:cs="Arial"/>
          <w:b/>
          <w:bCs/>
          <w:color w:val="000000" w:themeColor="text1"/>
          <w:szCs w:val="20"/>
        </w:rPr>
        <w:t>AVISO DE DISPENSA ELETRÔNICA Nº ....../20.....</w:t>
      </w:r>
    </w:p>
    <w:p>
      <w:pPr>
        <w:pStyle w:val="Normal"/>
        <w:spacing w:lineRule="auto" w:line="276" w:before="0" w:after="120"/>
        <w:ind w:right="-15" w:hanging="0"/>
        <w:jc w:val="center"/>
        <w:rPr>
          <w:rFonts w:cs="Arial"/>
          <w:b/>
          <w:b/>
          <w:bCs/>
          <w:color w:val="000000"/>
          <w:szCs w:val="20"/>
        </w:rPr>
      </w:pPr>
      <w:r>
        <w:rPr>
          <w:rFonts w:cs="Arial"/>
          <w:b/>
          <w:bCs/>
          <w:color w:val="000000" w:themeColor="text1"/>
          <w:szCs w:val="20"/>
        </w:rPr>
        <w:t>(Processo Administrativo n.°...........)</w:t>
      </w:r>
    </w:p>
    <w:p>
      <w:pPr>
        <w:pStyle w:val="Normal"/>
        <w:rPr>
          <w:rFonts w:cs="Arial"/>
        </w:rPr>
      </w:pPr>
      <w:r>
        <w:rPr>
          <w:rFonts w:cs="Arial"/>
        </w:rPr>
      </w:r>
    </w:p>
    <w:p>
      <w:pPr>
        <w:pStyle w:val="Normal"/>
        <w:snapToGrid w:val="false"/>
        <w:spacing w:lineRule="auto" w:line="276" w:before="0" w:after="120"/>
        <w:ind w:right="-30" w:firstLine="540"/>
        <w:jc w:val="both"/>
        <w:rPr>
          <w:rFonts w:cs="Arial"/>
          <w:color w:val="000000"/>
          <w:szCs w:val="20"/>
        </w:rPr>
      </w:pPr>
      <w:r>
        <w:rPr>
          <w:rFonts w:cs="Arial"/>
          <w:color w:val="000000" w:themeColor="text1"/>
          <w:szCs w:val="20"/>
        </w:rPr>
        <w:t xml:space="preserve">Torna-se público que </w:t>
      </w:r>
      <w:r>
        <w:rPr>
          <w:rFonts w:cs="Arial"/>
          <w:color w:val="000000" w:themeColor="text1"/>
          <w:szCs w:val="20"/>
          <w:shd w:fill="FFFF00" w:val="clear"/>
        </w:rPr>
        <w:t>a</w:t>
      </w:r>
      <w:r>
        <w:rPr>
          <w:rFonts w:eastAsia="Arial" w:cs="Arial"/>
          <w:color w:val="000000" w:themeColor="text1"/>
          <w:szCs w:val="20"/>
          <w:shd w:fill="FFFF00" w:val="clear"/>
        </w:rPr>
        <w:t xml:space="preserve"> Universidade Federal de Jataí - UFJ</w:t>
      </w:r>
      <w:r>
        <w:rPr>
          <w:rFonts w:cs="Arial"/>
          <w:color w:val="000000" w:themeColor="text1"/>
          <w:szCs w:val="20"/>
        </w:rPr>
        <w:t xml:space="preserve">, por meio </w:t>
      </w:r>
      <w:r>
        <w:rPr>
          <w:rFonts w:cs="Arial"/>
          <w:color w:val="000000" w:themeColor="text1"/>
          <w:szCs w:val="20"/>
          <w:shd w:fill="FFFF00" w:val="clear"/>
        </w:rPr>
        <w:t>da Coordenação de Saúde e Segurança do Trabalho – SST</w:t>
      </w:r>
      <w:r>
        <w:rPr>
          <w:rFonts w:cs="Arial"/>
          <w:color w:val="000000" w:themeColor="text1"/>
          <w:szCs w:val="20"/>
        </w:rPr>
        <w:t xml:space="preserve">, realizará Dispensa Eletrônica, </w:t>
      </w:r>
      <w:r>
        <w:rPr>
          <w:rFonts w:cs="Arial"/>
          <w:bCs/>
          <w:color w:val="000000" w:themeColor="text1"/>
          <w:szCs w:val="20"/>
        </w:rPr>
        <w:t>com critério de julgamento</w:t>
      </w:r>
      <w:r>
        <w:rPr>
          <w:rFonts w:cs="Arial"/>
          <w:b/>
          <w:bCs/>
          <w:color w:val="000000" w:themeColor="text1"/>
          <w:szCs w:val="20"/>
        </w:rPr>
        <w:t xml:space="preserve"> </w:t>
      </w:r>
      <w:r>
        <w:rPr>
          <w:rFonts w:cs="Arial"/>
          <w:i/>
          <w:color w:val="FF0000"/>
          <w:szCs w:val="20"/>
        </w:rPr>
        <w:t>(menor preço/maior desconto)</w:t>
      </w:r>
      <w:r>
        <w:rPr>
          <w:rFonts w:cs="Arial"/>
          <w:b/>
          <w:bCs/>
          <w:i/>
          <w:color w:val="FF0000"/>
          <w:szCs w:val="20"/>
        </w:rPr>
        <w:t xml:space="preserve">, </w:t>
      </w:r>
      <w:r>
        <w:rPr>
          <w:rFonts w:cs="Arial"/>
          <w:color w:val="000000" w:themeColor="text1"/>
          <w:szCs w:val="20"/>
        </w:rPr>
        <w:t>na hipótese do art. 75</w:t>
      </w:r>
      <w:r>
        <w:rPr>
          <w:rFonts w:cs="Arial"/>
          <w:i/>
          <w:iCs/>
          <w:color w:val="000000" w:themeColor="text1"/>
          <w:szCs w:val="20"/>
        </w:rPr>
        <w:t xml:space="preserve">, </w:t>
      </w:r>
      <w:r>
        <w:rPr>
          <w:rFonts w:cs="Arial"/>
          <w:i/>
          <w:iCs/>
          <w:color w:val="FF0000"/>
          <w:szCs w:val="20"/>
          <w:shd w:fill="FFFF00" w:val="clear"/>
        </w:rPr>
        <w:t xml:space="preserve">inciso </w:t>
      </w:r>
      <w:r>
        <w:rPr>
          <w:rFonts w:cs="Arial"/>
          <w:b/>
          <w:i/>
          <w:iCs/>
          <w:color w:val="FF0000"/>
          <w:szCs w:val="20"/>
          <w:shd w:fill="FFFF00" w:val="clear"/>
        </w:rPr>
        <w:t>II</w:t>
      </w:r>
      <w:r>
        <w:rPr>
          <w:rFonts w:cs="Arial"/>
          <w:i/>
          <w:iCs/>
          <w:color w:val="FF0000"/>
          <w:szCs w:val="20"/>
          <w:shd w:fill="FFFF00" w:val="clear"/>
        </w:rPr>
        <w:t>,</w:t>
      </w:r>
      <w:r>
        <w:rPr>
          <w:rFonts w:cs="Arial"/>
          <w:color w:val="FF0000"/>
          <w:szCs w:val="20"/>
        </w:rPr>
        <w:t xml:space="preserve"> </w:t>
      </w:r>
      <w:r>
        <w:rPr>
          <w:rFonts w:cs="Arial"/>
          <w:bCs/>
          <w:szCs w:val="20"/>
        </w:rPr>
        <w:t>nos termos da Lei nº 14.133, de 1º de abril de 2021, da Instrução Normativa SEGES/ME nº 67/2021 e demais legislação aplicável</w:t>
      </w:r>
      <w:r>
        <w:rPr>
          <w:rFonts w:cs="Arial"/>
          <w:color w:val="000000"/>
          <w:szCs w:val="20"/>
        </w:rPr>
        <w:t>.</w:t>
      </w:r>
    </w:p>
    <w:tbl>
      <w:tblPr>
        <w:tblW w:w="8504" w:type="dxa"/>
        <w:jc w:val="left"/>
        <w:tblInd w:w="28" w:type="dxa"/>
        <w:tblLayout w:type="fixed"/>
        <w:tblCellMar>
          <w:top w:w="28" w:type="dxa"/>
          <w:left w:w="28" w:type="dxa"/>
          <w:bottom w:w="28" w:type="dxa"/>
          <w:right w:w="28" w:type="dxa"/>
        </w:tblCellMar>
      </w:tblPr>
      <w:tblGrid>
        <w:gridCol w:w="8504"/>
      </w:tblGrid>
      <w:tr>
        <w:trPr/>
        <w:tc>
          <w:tcPr>
            <w:tcW w:w="8504" w:type="dxa"/>
            <w:tcBorders>
              <w:top w:val="single" w:sz="2" w:space="0" w:color="000000"/>
              <w:left w:val="single" w:sz="2" w:space="0" w:color="000000"/>
              <w:bottom w:val="single" w:sz="2" w:space="0" w:color="000000"/>
              <w:right w:val="single" w:sz="2" w:space="0" w:color="000000"/>
            </w:tcBorders>
          </w:tcPr>
          <w:p>
            <w:pPr>
              <w:pStyle w:val="Contedodatabela"/>
              <w:jc w:val="both"/>
              <w:rPr/>
            </w:pPr>
            <w:r>
              <w:rPr/>
              <w:t>Art. 75. É dispensável a licitação:</w:t>
            </w:r>
          </w:p>
          <w:p>
            <w:pPr>
              <w:pStyle w:val="Contedodatabela"/>
              <w:jc w:val="both"/>
              <w:rPr/>
            </w:pPr>
            <w:r>
              <w:rPr/>
            </w:r>
          </w:p>
          <w:p>
            <w:pPr>
              <w:pStyle w:val="Contedodatabela"/>
              <w:jc w:val="both"/>
              <w:rPr/>
            </w:pPr>
            <w:r>
              <w:rPr/>
              <w:t>I - para contratação que envolva valores inferiores a R$ 100.000,00 (cem mil reais), no caso de obras e serviços de engenharia ou de serviços de manutenção de veículos automotores; (Vide Decreto nº 10.922, de 2021) (Vigência)</w:t>
            </w:r>
          </w:p>
          <w:p>
            <w:pPr>
              <w:pStyle w:val="Contedodatabela"/>
              <w:jc w:val="both"/>
              <w:rPr/>
            </w:pPr>
            <w:r>
              <w:rPr/>
            </w:r>
          </w:p>
          <w:p>
            <w:pPr>
              <w:pStyle w:val="Contedodatabela"/>
              <w:jc w:val="both"/>
              <w:rPr>
                <w:b/>
                <w:b/>
                <w:bCs/>
              </w:rPr>
            </w:pPr>
            <w:r>
              <w:rPr>
                <w:b/>
                <w:bCs/>
              </w:rPr>
              <w:t>II - para contratação que envolva valores inferiores a R$ 50.000,00 (cinquenta mil reais), no caso de outros serviços e compras; (Vide Decreto nº 10.922, de 2021)  (Vigência)</w:t>
            </w:r>
          </w:p>
        </w:tc>
      </w:tr>
    </w:tbl>
    <w:p>
      <w:pPr>
        <w:pStyle w:val="Normal"/>
        <w:snapToGrid w:val="false"/>
        <w:spacing w:lineRule="auto" w:line="276" w:before="0" w:after="120"/>
        <w:ind w:right="-30" w:firstLine="540"/>
        <w:jc w:val="both"/>
        <w:rPr>
          <w:rFonts w:cs="Arial"/>
          <w:color w:val="000000"/>
          <w:szCs w:val="20"/>
        </w:rPr>
      </w:pPr>
      <w:r>
        <w:rPr>
          <w:rFonts w:cs="Arial"/>
          <w:color w:val="000000" w:themeColor="text1"/>
          <w:szCs w:val="20"/>
        </w:rPr>
      </w:r>
    </w:p>
    <w:p>
      <w:pPr>
        <w:pStyle w:val="Quote"/>
        <w:tabs>
          <w:tab w:val="clear" w:pos="708"/>
          <w:tab w:val="center" w:pos="4252" w:leader="none"/>
          <w:tab w:val="left" w:pos="5823" w:leader="none"/>
        </w:tabs>
        <w:spacing w:lineRule="auto" w:line="276" w:before="0" w:after="0"/>
        <w:rPr>
          <w:rFonts w:cs="Arial"/>
          <w:color w:val="000000" w:themeColor="text1"/>
          <w:szCs w:val="20"/>
        </w:rPr>
      </w:pPr>
      <w:r>
        <w:rPr>
          <w:rFonts w:cs="Arial"/>
          <w:b/>
          <w:bCs/>
          <w:i w:val="false"/>
          <w:iCs w:val="false"/>
          <w:szCs w:val="20"/>
        </w:rPr>
        <w:t xml:space="preserve">Nota explicativa: </w:t>
      </w:r>
      <w:r>
        <w:rPr>
          <w:rFonts w:cs="Arial"/>
          <w:bCs/>
          <w:i w:val="false"/>
          <w:iCs w:val="false"/>
          <w:szCs w:val="20"/>
        </w:rPr>
        <w:t>Ajustar o Preâmbulo com a hipótese de dispensa.</w:t>
      </w:r>
    </w:p>
    <w:p>
      <w:pPr>
        <w:pStyle w:val="Normal"/>
        <w:spacing w:lineRule="auto" w:line="276"/>
        <w:jc w:val="both"/>
        <w:rPr>
          <w:rFonts w:cs="Arial"/>
          <w:color w:val="000000" w:themeColor="text1"/>
          <w:szCs w:val="20"/>
        </w:rPr>
      </w:pPr>
      <w:r>
        <w:rPr>
          <w:rFonts w:cs="Arial"/>
          <w:color w:val="000000" w:themeColor="text1"/>
          <w:szCs w:val="20"/>
        </w:rPr>
      </w:r>
    </w:p>
    <w:p>
      <w:pPr>
        <w:pStyle w:val="Normal"/>
        <w:spacing w:lineRule="auto" w:line="276"/>
        <w:jc w:val="both"/>
        <w:rPr>
          <w:rFonts w:cs="Arial"/>
          <w:szCs w:val="20"/>
        </w:rPr>
      </w:pPr>
      <w:r>
        <w:rPr>
          <w:rFonts w:cs="Arial"/>
          <w:color w:val="000000" w:themeColor="text1"/>
          <w:szCs w:val="20"/>
        </w:rPr>
        <w:t>Data da sessão:</w:t>
      </w:r>
    </w:p>
    <w:p>
      <w:pPr>
        <w:pStyle w:val="Normal"/>
        <w:rPr>
          <w:rFonts w:cs="Arial"/>
          <w:color w:val="000000" w:themeColor="text1"/>
          <w:szCs w:val="20"/>
        </w:rPr>
      </w:pPr>
      <w:r>
        <w:rPr>
          <w:rFonts w:cs="Arial"/>
          <w:color w:val="000000" w:themeColor="text1"/>
          <w:szCs w:val="20"/>
        </w:rPr>
        <w:t xml:space="preserve">Link: </w:t>
      </w:r>
    </w:p>
    <w:p>
      <w:pPr>
        <w:pStyle w:val="Normal"/>
        <w:rPr>
          <w:rFonts w:cs="Arial"/>
          <w:color w:val="000000" w:themeColor="text1"/>
          <w:szCs w:val="20"/>
        </w:rPr>
      </w:pPr>
      <w:r>
        <w:rPr>
          <w:rFonts w:cs="Arial"/>
          <w:color w:val="000000" w:themeColor="text1"/>
          <w:szCs w:val="20"/>
        </w:rPr>
        <w:t xml:space="preserve">Horário da Fase de Lances: 8:00 às </w:t>
      </w:r>
      <w:r>
        <w:rPr>
          <w:rFonts w:cs="Arial"/>
          <w:i/>
          <w:color w:val="FF0000"/>
          <w:szCs w:val="20"/>
        </w:rPr>
        <w:t>XX:XX</w:t>
      </w:r>
    </w:p>
    <w:p>
      <w:pPr>
        <w:pStyle w:val="PADRO"/>
        <w:keepNext w:val="false"/>
        <w:widowControl/>
        <w:shd w:val="clear" w:color="auto" w:fill="auto"/>
        <w:spacing w:before="120" w:after="120"/>
        <w:ind w:left="360" w:hanging="0"/>
        <w:rPr>
          <w:rFonts w:ascii="Arial" w:hAnsi="Arial" w:cs="Arial"/>
          <w:b/>
          <w:b/>
        </w:rPr>
      </w:pPr>
      <w:r>
        <w:rPr>
          <w:rFonts w:cs="Arial" w:ascii="Arial" w:hAnsi="Arial"/>
          <w:b/>
        </w:rPr>
      </w:r>
    </w:p>
    <w:p>
      <w:pPr>
        <w:pStyle w:val="PADRO"/>
        <w:keepNext w:val="false"/>
        <w:widowControl/>
        <w:numPr>
          <w:ilvl w:val="0"/>
          <w:numId w:val="1"/>
        </w:numPr>
        <w:shd w:val="clear" w:color="auto" w:fill="auto"/>
        <w:spacing w:before="120" w:after="120"/>
        <w:rPr>
          <w:rFonts w:ascii="Arial" w:hAnsi="Arial" w:cs="Arial"/>
          <w:b/>
          <w:b/>
        </w:rPr>
      </w:pPr>
      <w:r>
        <w:rPr>
          <w:rFonts w:cs="Arial" w:ascii="Arial" w:hAnsi="Arial"/>
          <w:b/>
        </w:rPr>
        <w:t>OBJETO DA CONTRATAÇÃO DIRETA</w:t>
      </w:r>
      <w:bookmarkStart w:id="0" w:name="_GoBack"/>
      <w:bookmarkEnd w:id="0"/>
    </w:p>
    <w:p>
      <w:pPr>
        <w:pStyle w:val="PADRO"/>
        <w:keepNext w:val="false"/>
        <w:widowControl/>
        <w:numPr>
          <w:ilvl w:val="1"/>
          <w:numId w:val="1"/>
        </w:numPr>
        <w:shd w:val="clear" w:color="auto" w:fill="auto"/>
        <w:spacing w:before="120" w:after="120"/>
        <w:rPr>
          <w:rFonts w:ascii="Arial" w:hAnsi="Arial" w:cs="Arial"/>
          <w:szCs w:val="20"/>
        </w:rPr>
      </w:pPr>
      <w:r>
        <w:rPr>
          <w:rFonts w:cs="Arial" w:ascii="Arial" w:hAnsi="Arial"/>
          <w:color w:val="000000" w:themeColor="text1"/>
          <w:szCs w:val="20"/>
        </w:rPr>
        <w:t xml:space="preserve">O objeto da presente dispensa é a escolha da proposta mais vantajosa para a </w:t>
      </w:r>
      <w:r>
        <w:rPr>
          <w:rFonts w:cs="Arial" w:ascii="Arial" w:hAnsi="Arial"/>
          <w:color w:val="FF0000"/>
          <w:szCs w:val="20"/>
        </w:rPr>
        <w:t>contratação</w:t>
      </w:r>
      <w:r>
        <w:rPr>
          <w:rFonts w:cs="Arial" w:ascii="Arial" w:hAnsi="Arial"/>
          <w:color w:val="000000" w:themeColor="text1"/>
          <w:szCs w:val="20"/>
        </w:rPr>
        <w:t xml:space="preserve"> por dispensa de licitação </w:t>
      </w:r>
      <w:r>
        <w:rPr>
          <w:rFonts w:cs="Arial" w:ascii="Arial" w:hAnsi="Arial"/>
          <w:color w:val="000000" w:themeColor="text1"/>
          <w:szCs w:val="20"/>
          <w:shd w:fill="FFFF00" w:val="clear"/>
        </w:rPr>
        <w:t>de recarga e manutenção de segundo nível em extintores de incêndio</w:t>
      </w:r>
      <w:r>
        <w:rPr>
          <w:rFonts w:cs="Arial" w:ascii="Arial" w:hAnsi="Arial"/>
          <w:b/>
          <w:bCs/>
          <w:color w:val="000000" w:themeColor="text1"/>
          <w:szCs w:val="20"/>
        </w:rPr>
        <w:t>,</w:t>
      </w:r>
      <w:r>
        <w:rPr>
          <w:rFonts w:cs="Arial" w:ascii="Arial" w:hAnsi="Arial"/>
          <w:color w:val="000000" w:themeColor="text1"/>
          <w:szCs w:val="20"/>
        </w:rPr>
        <w:t xml:space="preserve"> conforme condições, quantidades e exigências estabelecidas neste Aviso de Contratação Direta e seus anexos.</w:t>
      </w:r>
    </w:p>
    <w:p>
      <w:pPr>
        <w:pStyle w:val="PADRO"/>
        <w:keepNext w:val="false"/>
        <w:widowControl/>
        <w:numPr>
          <w:ilvl w:val="1"/>
          <w:numId w:val="1"/>
        </w:numPr>
        <w:shd w:val="clear" w:color="auto" w:fill="auto"/>
        <w:spacing w:before="120" w:after="120"/>
        <w:rPr>
          <w:rFonts w:ascii="Arial" w:hAnsi="Arial" w:cs="Arial"/>
          <w:szCs w:val="20"/>
        </w:rPr>
      </w:pPr>
      <w:r>
        <w:rPr>
          <w:rFonts w:cs="Arial" w:ascii="Arial" w:hAnsi="Arial"/>
          <w:i/>
          <w:iCs/>
          <w:color w:val="FF0000"/>
          <w:szCs w:val="20"/>
          <w:shd w:fill="FFFF00" w:val="clear"/>
        </w:rPr>
        <w:t>A contratação será dividida em itens</w:t>
      </w:r>
      <w:r>
        <w:rPr>
          <w:rFonts w:cs="Arial" w:ascii="Arial" w:hAnsi="Arial"/>
          <w:b/>
          <w:bCs/>
          <w:i/>
          <w:iCs/>
          <w:color w:val="FF0000"/>
          <w:szCs w:val="20"/>
          <w:shd w:fill="FFFF00" w:val="clear"/>
        </w:rPr>
        <w:t>,</w:t>
      </w:r>
      <w:r>
        <w:rPr>
          <w:rFonts w:cs="Arial" w:ascii="Arial" w:hAnsi="Arial"/>
          <w:i/>
          <w:iCs/>
          <w:color w:val="FF0000"/>
          <w:szCs w:val="20"/>
          <w:shd w:fill="FFFF00" w:val="clear"/>
        </w:rPr>
        <w:t xml:space="preserve"> conforme tabela constante abaixo.</w:t>
      </w:r>
    </w:p>
    <w:tbl>
      <w:tblPr>
        <w:tblW w:w="8444" w:type="dxa"/>
        <w:jc w:val="left"/>
        <w:tblInd w:w="142" w:type="dxa"/>
        <w:tblLayout w:type="fixed"/>
        <w:tblCellMar>
          <w:top w:w="0" w:type="dxa"/>
          <w:left w:w="108" w:type="dxa"/>
          <w:bottom w:w="0" w:type="dxa"/>
          <w:right w:w="108" w:type="dxa"/>
        </w:tblCellMar>
        <w:tblLook w:firstRow="1" w:noVBand="1" w:lastRow="0" w:firstColumn="1" w:lastColumn="0" w:noHBand="0" w:val="04a0"/>
      </w:tblPr>
      <w:tblGrid>
        <w:gridCol w:w="622"/>
        <w:gridCol w:w="3011"/>
        <w:gridCol w:w="905"/>
        <w:gridCol w:w="1015"/>
        <w:gridCol w:w="796"/>
        <w:gridCol w:w="906"/>
        <w:gridCol w:w="1189"/>
      </w:tblGrid>
      <w:tr>
        <w:trPr/>
        <w:tc>
          <w:tcPr>
            <w:tcW w:w="62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jc w:val="center"/>
              <w:rPr>
                <w:rFonts w:cs="Arial"/>
                <w:b/>
                <w:b/>
                <w:bCs/>
                <w:color w:val="000000"/>
                <w:sz w:val="14"/>
                <w:szCs w:val="14"/>
              </w:rPr>
            </w:pPr>
            <w:r>
              <w:rPr>
                <w:rFonts w:cs="Arial"/>
                <w:b/>
                <w:bCs/>
                <w:color w:val="000000"/>
                <w:sz w:val="14"/>
                <w:szCs w:val="14"/>
              </w:rPr>
              <w:t>ITEM</w:t>
            </w:r>
          </w:p>
          <w:p>
            <w:pPr>
              <w:pStyle w:val="Normal"/>
              <w:widowControl w:val="false"/>
              <w:suppressAutoHyphens w:val="true"/>
              <w:jc w:val="center"/>
              <w:rPr>
                <w:rFonts w:cs="Arial"/>
                <w:b/>
                <w:b/>
                <w:color w:val="000000"/>
                <w:sz w:val="14"/>
                <w:szCs w:val="14"/>
              </w:rPr>
            </w:pPr>
            <w:r>
              <w:rPr>
                <w:rFonts w:cs="Arial"/>
                <w:b/>
                <w:color w:val="000000"/>
                <w:sz w:val="14"/>
                <w:szCs w:val="14"/>
              </w:rPr>
            </w:r>
          </w:p>
        </w:tc>
        <w:tc>
          <w:tcPr>
            <w:tcW w:w="3011"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cs="Arial"/>
                <w:b/>
                <w:b/>
                <w:bCs/>
                <w:color w:val="000000"/>
                <w:sz w:val="14"/>
                <w:szCs w:val="14"/>
              </w:rPr>
            </w:pPr>
            <w:r>
              <w:rPr>
                <w:rFonts w:cs="Arial"/>
                <w:b/>
                <w:bCs/>
                <w:color w:val="000000"/>
                <w:sz w:val="14"/>
                <w:szCs w:val="14"/>
              </w:rPr>
              <w:t>DESCRIÇÃO/</w:t>
            </w:r>
          </w:p>
          <w:p>
            <w:pPr>
              <w:pStyle w:val="Normal"/>
              <w:widowControl w:val="false"/>
              <w:suppressAutoHyphens w:val="true"/>
              <w:jc w:val="center"/>
              <w:rPr>
                <w:rFonts w:cs="Arial"/>
                <w:color w:val="000000"/>
                <w:sz w:val="14"/>
                <w:szCs w:val="14"/>
              </w:rPr>
            </w:pPr>
            <w:r>
              <w:rPr>
                <w:rFonts w:cs="Arial"/>
                <w:b/>
                <w:bCs/>
                <w:color w:val="000000"/>
                <w:sz w:val="14"/>
                <w:szCs w:val="14"/>
              </w:rPr>
              <w:t>ESPECIFICAÇÃO</w:t>
            </w:r>
          </w:p>
        </w:tc>
        <w:tc>
          <w:tcPr>
            <w:tcW w:w="90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jc w:val="center"/>
              <w:rPr>
                <w:rFonts w:cs="Arial"/>
                <w:b/>
                <w:b/>
                <w:bCs/>
                <w:color w:val="000000"/>
                <w:sz w:val="14"/>
                <w:szCs w:val="14"/>
              </w:rPr>
            </w:pPr>
            <w:r>
              <w:rPr>
                <w:rFonts w:cs="Arial"/>
                <w:b/>
                <w:bCs/>
                <w:color w:val="000000"/>
                <w:sz w:val="14"/>
                <w:szCs w:val="14"/>
              </w:rPr>
              <w:t>CATSER/</w:t>
            </w:r>
          </w:p>
          <w:p>
            <w:pPr>
              <w:pStyle w:val="Normal"/>
              <w:widowControl w:val="false"/>
              <w:suppressAutoHyphens w:val="true"/>
              <w:jc w:val="center"/>
              <w:rPr>
                <w:rFonts w:cs="Arial"/>
                <w:b/>
                <w:b/>
                <w:bCs/>
                <w:color w:val="000000"/>
                <w:sz w:val="14"/>
                <w:szCs w:val="14"/>
              </w:rPr>
            </w:pPr>
            <w:r>
              <w:rPr>
                <w:rFonts w:cs="Arial"/>
                <w:b/>
                <w:bCs/>
                <w:color w:val="000000"/>
                <w:sz w:val="14"/>
                <w:szCs w:val="14"/>
              </w:rPr>
              <w:t>CATMAT</w:t>
            </w:r>
          </w:p>
        </w:tc>
        <w:tc>
          <w:tcPr>
            <w:tcW w:w="101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jc w:val="center"/>
              <w:rPr>
                <w:rFonts w:cs="Arial"/>
                <w:color w:val="000000"/>
                <w:sz w:val="14"/>
                <w:szCs w:val="14"/>
              </w:rPr>
            </w:pPr>
            <w:r>
              <w:rPr>
                <w:rFonts w:cs="Arial"/>
                <w:b/>
                <w:bCs/>
                <w:color w:val="000000"/>
                <w:sz w:val="14"/>
                <w:szCs w:val="14"/>
              </w:rPr>
              <w:t>UNIDADE DE MEDIDA</w:t>
            </w:r>
          </w:p>
        </w:tc>
        <w:tc>
          <w:tcPr>
            <w:tcW w:w="79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jc w:val="center"/>
              <w:rPr>
                <w:rFonts w:cs="Arial"/>
                <w:color w:val="000000"/>
                <w:sz w:val="14"/>
                <w:szCs w:val="14"/>
              </w:rPr>
            </w:pPr>
            <w:r>
              <w:rPr>
                <w:rFonts w:cs="Arial"/>
                <w:b/>
                <w:bCs/>
                <w:color w:val="000000"/>
                <w:sz w:val="14"/>
                <w:szCs w:val="14"/>
              </w:rPr>
              <w:t>QUANT.</w:t>
            </w:r>
          </w:p>
        </w:tc>
        <w:tc>
          <w:tcPr>
            <w:tcW w:w="906" w:type="dxa"/>
            <w:tcBorders>
              <w:top w:val="single" w:sz="4" w:space="0" w:color="000000"/>
              <w:left w:val="single" w:sz="4" w:space="0" w:color="000000"/>
              <w:bottom w:val="single" w:sz="4" w:space="0" w:color="000000"/>
            </w:tcBorders>
          </w:tcPr>
          <w:p>
            <w:pPr>
              <w:pStyle w:val="Normal"/>
              <w:widowControl w:val="false"/>
              <w:suppressAutoHyphens w:val="true"/>
              <w:jc w:val="center"/>
              <w:rPr>
                <w:rFonts w:cs="Arial"/>
                <w:b/>
                <w:b/>
                <w:bCs/>
                <w:color w:val="000000"/>
                <w:sz w:val="14"/>
                <w:szCs w:val="14"/>
              </w:rPr>
            </w:pPr>
            <w:r>
              <w:rPr>
                <w:rFonts w:cs="Arial"/>
                <w:b/>
                <w:bCs/>
                <w:color w:val="000000"/>
                <w:sz w:val="14"/>
                <w:szCs w:val="14"/>
              </w:rPr>
              <w:t>PREÇO UNITÁRIO</w:t>
            </w:r>
          </w:p>
        </w:tc>
        <w:tc>
          <w:tcPr>
            <w:tcW w:w="1189"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jc w:val="center"/>
              <w:rPr>
                <w:rFonts w:cs="Arial"/>
                <w:b/>
                <w:b/>
                <w:bCs/>
                <w:color w:val="000000"/>
                <w:sz w:val="14"/>
                <w:szCs w:val="14"/>
              </w:rPr>
            </w:pPr>
            <w:r>
              <w:rPr>
                <w:rFonts w:cs="Arial"/>
                <w:b/>
                <w:bCs/>
                <w:color w:val="000000"/>
                <w:sz w:val="14"/>
                <w:szCs w:val="14"/>
              </w:rPr>
              <w:t>PREÇO ESTIMADO</w:t>
            </w:r>
          </w:p>
        </w:tc>
      </w:tr>
      <w:tr>
        <w:trPr>
          <w:trHeight w:val="235" w:hRule="atLeast"/>
        </w:trPr>
        <w:tc>
          <w:tcPr>
            <w:tcW w:w="62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cs="Arial"/>
                <w:b/>
                <w:b/>
                <w:color w:val="000000"/>
                <w:sz w:val="16"/>
                <w:szCs w:val="16"/>
              </w:rPr>
            </w:pPr>
            <w:r>
              <w:rPr>
                <w:rFonts w:cs="Arial"/>
                <w:b/>
                <w:color w:val="000000"/>
                <w:sz w:val="16"/>
                <w:szCs w:val="16"/>
              </w:rPr>
              <w:t>1</w:t>
            </w:r>
          </w:p>
        </w:tc>
        <w:tc>
          <w:tcPr>
            <w:tcW w:w="30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both"/>
              <w:rPr>
                <w:rFonts w:ascii="Arial" w:hAnsi="Arial"/>
                <w:sz w:val="16"/>
                <w:szCs w:val="16"/>
              </w:rPr>
            </w:pPr>
            <w:r>
              <w:rPr>
                <w:rFonts w:cs="Arial"/>
                <w:b w:val="false"/>
                <w:bCs w:val="false"/>
                <w:color w:val="000000"/>
                <w:sz w:val="16"/>
                <w:szCs w:val="16"/>
              </w:rPr>
              <w:t xml:space="preserve">MANUTENÇÃO DE 2º NÍVEL E RECARGA DE </w:t>
            </w:r>
            <w:r>
              <w:rPr>
                <w:rFonts w:cs="Arial"/>
                <w:b/>
                <w:bCs/>
                <w:color w:val="000000"/>
                <w:sz w:val="16"/>
                <w:szCs w:val="16"/>
              </w:rPr>
              <w:t>EXTINTORES ABC PQ 6 KG</w:t>
            </w:r>
            <w:r>
              <w:rPr>
                <w:rFonts w:cs="Arial"/>
                <w:b w:val="false"/>
                <w:bCs w:val="false"/>
                <w:color w:val="000000"/>
                <w:sz w:val="16"/>
                <w:szCs w:val="16"/>
              </w:rPr>
              <w:t xml:space="preserve"> </w:t>
            </w:r>
            <w:r>
              <w:rPr>
                <w:b w:val="false"/>
                <w:bCs w:val="false"/>
                <w:sz w:val="16"/>
                <w:szCs w:val="16"/>
              </w:rPr>
              <w:t xml:space="preserve">E EM SEUS COMPONENTES, CONFORME </w:t>
            </w:r>
            <w:r>
              <w:rPr>
                <w:sz w:val="16"/>
                <w:szCs w:val="16"/>
              </w:rPr>
              <w:t>ESPECIFICAÇÕES DA NBR 12962,</w:t>
            </w:r>
            <w:r>
              <w:rPr>
                <w:rFonts w:cs="Arial"/>
                <w:b w:val="false"/>
                <w:bCs w:val="false"/>
                <w:color w:val="000000"/>
                <w:sz w:val="16"/>
                <w:szCs w:val="16"/>
              </w:rPr>
              <w:t xml:space="preserve"> INCLUINDO SUBSTITUIÇÕES DE PEÇAS DEFEITUOSAS.</w:t>
            </w:r>
          </w:p>
        </w:tc>
        <w:tc>
          <w:tcPr>
            <w:tcW w:w="9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cs="Arial"/>
                <w:color w:val="000000"/>
                <w:sz w:val="16"/>
                <w:szCs w:val="16"/>
              </w:rPr>
            </w:pPr>
            <w:r>
              <w:rPr>
                <w:rFonts w:cs="Arial"/>
                <w:color w:val="000000"/>
                <w:sz w:val="16"/>
                <w:szCs w:val="16"/>
              </w:rPr>
              <w:t>3662</w:t>
            </w:r>
          </w:p>
        </w:tc>
        <w:tc>
          <w:tcPr>
            <w:tcW w:w="101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cs="Arial"/>
                <w:color w:val="000000"/>
                <w:sz w:val="16"/>
                <w:szCs w:val="16"/>
              </w:rPr>
            </w:pPr>
            <w:r>
              <w:rPr>
                <w:rFonts w:cs="Arial"/>
                <w:color w:val="000000"/>
                <w:sz w:val="16"/>
                <w:szCs w:val="16"/>
              </w:rPr>
              <w:t>UNIDADE</w:t>
            </w:r>
          </w:p>
        </w:tc>
        <w:tc>
          <w:tcPr>
            <w:tcW w:w="79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cs="Arial"/>
                <w:color w:val="000000"/>
                <w:sz w:val="16"/>
                <w:szCs w:val="16"/>
              </w:rPr>
            </w:pPr>
            <w:r>
              <w:rPr>
                <w:rFonts w:cs="Arial"/>
                <w:color w:val="000000"/>
                <w:sz w:val="16"/>
                <w:szCs w:val="16"/>
              </w:rPr>
              <w:t>44</w:t>
            </w:r>
          </w:p>
        </w:tc>
        <w:tc>
          <w:tcPr>
            <w:tcW w:w="906" w:type="dxa"/>
            <w:tcBorders>
              <w:top w:val="single" w:sz="4" w:space="0" w:color="000000"/>
              <w:left w:val="single" w:sz="4" w:space="0" w:color="000000"/>
              <w:bottom w:val="single" w:sz="4" w:space="0" w:color="000000"/>
            </w:tcBorders>
            <w:vAlign w:val="center"/>
          </w:tcPr>
          <w:p>
            <w:pPr>
              <w:pStyle w:val="Normal"/>
              <w:widowControl w:val="false"/>
              <w:suppressAutoHyphens w:val="true"/>
              <w:spacing w:lineRule="auto" w:line="276" w:before="0" w:after="120"/>
              <w:jc w:val="center"/>
              <w:rPr>
                <w:rFonts w:cs="Arial"/>
                <w:color w:val="000000"/>
                <w:sz w:val="16"/>
                <w:szCs w:val="16"/>
              </w:rPr>
            </w:pPr>
            <w:r>
              <w:rPr>
                <w:rFonts w:cs="Arial"/>
                <w:color w:val="000000"/>
                <w:sz w:val="16"/>
                <w:szCs w:val="16"/>
              </w:rPr>
              <w:t>R$ 70.00</w:t>
            </w:r>
          </w:p>
        </w:tc>
        <w:tc>
          <w:tcPr>
            <w:tcW w:w="118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cs="Arial"/>
                <w:color w:val="000000"/>
                <w:sz w:val="16"/>
                <w:szCs w:val="16"/>
              </w:rPr>
            </w:pPr>
            <w:r>
              <w:rPr>
                <w:rFonts w:cs="Arial"/>
                <w:color w:val="000000"/>
                <w:sz w:val="16"/>
                <w:szCs w:val="16"/>
              </w:rPr>
              <w:t>R$ 3.080,00</w:t>
            </w:r>
          </w:p>
        </w:tc>
      </w:tr>
      <w:tr>
        <w:trPr/>
        <w:tc>
          <w:tcPr>
            <w:tcW w:w="62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cs="Arial"/>
                <w:b/>
                <w:b/>
                <w:color w:val="000000"/>
                <w:sz w:val="16"/>
                <w:szCs w:val="16"/>
              </w:rPr>
            </w:pPr>
            <w:r>
              <w:rPr>
                <w:rFonts w:cs="Arial"/>
                <w:b/>
                <w:color w:val="000000"/>
                <w:sz w:val="16"/>
                <w:szCs w:val="16"/>
              </w:rPr>
              <w:t>2</w:t>
            </w:r>
          </w:p>
        </w:tc>
        <w:tc>
          <w:tcPr>
            <w:tcW w:w="3011" w:type="dxa"/>
            <w:tcBorders>
              <w:top w:val="single" w:sz="4" w:space="0" w:color="000000"/>
              <w:left w:val="single" w:sz="4" w:space="0" w:color="000000"/>
              <w:bottom w:val="single" w:sz="4" w:space="0" w:color="000000"/>
              <w:right w:val="single" w:sz="4" w:space="0" w:color="000000"/>
            </w:tcBorders>
            <w:vAlign w:val="center"/>
          </w:tcPr>
          <w:p>
            <w:pPr>
              <w:pStyle w:val="Contedodatabela"/>
              <w:widowControl w:val="false"/>
              <w:suppressAutoHyphens w:val="true"/>
              <w:spacing w:lineRule="auto" w:line="276" w:before="0" w:after="120"/>
              <w:jc w:val="both"/>
              <w:rPr>
                <w:rFonts w:cs="Arial"/>
                <w:color w:val="000000"/>
                <w:sz w:val="16"/>
                <w:szCs w:val="16"/>
              </w:rPr>
            </w:pPr>
            <w:r>
              <w:rPr>
                <w:rFonts w:cs="Arial"/>
                <w:b w:val="false"/>
                <w:bCs w:val="false"/>
                <w:color w:val="000000"/>
                <w:sz w:val="16"/>
                <w:szCs w:val="16"/>
              </w:rPr>
              <w:t xml:space="preserve">MANUTENÇÃO DE 2º NÍVEL E RECARGA DE </w:t>
            </w:r>
            <w:r>
              <w:rPr>
                <w:rFonts w:cs="Arial"/>
                <w:b/>
                <w:bCs/>
                <w:color w:val="000000"/>
                <w:sz w:val="16"/>
                <w:szCs w:val="16"/>
              </w:rPr>
              <w:t>EXTINTORES ABC PQ 4 KG</w:t>
            </w:r>
            <w:r>
              <w:rPr>
                <w:rFonts w:cs="Arial"/>
                <w:b w:val="false"/>
                <w:bCs w:val="false"/>
                <w:color w:val="000000"/>
                <w:sz w:val="16"/>
                <w:szCs w:val="16"/>
              </w:rPr>
              <w:t xml:space="preserve"> E EM SEUS COMPONENTES, CONFORME ESPECIFICAÇÕES DA NBR 12962, INCLUINDO SUBSTITUIÇÕES DE PEÇAS DEFEITUOSAS.</w:t>
            </w:r>
          </w:p>
        </w:tc>
        <w:tc>
          <w:tcPr>
            <w:tcW w:w="9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cs="Arial"/>
                <w:color w:val="000000"/>
                <w:sz w:val="16"/>
                <w:szCs w:val="16"/>
              </w:rPr>
            </w:pPr>
            <w:r>
              <w:rPr>
                <w:rFonts w:cs="Arial"/>
                <w:color w:val="000000"/>
                <w:sz w:val="16"/>
                <w:szCs w:val="16"/>
              </w:rPr>
              <w:t>3662</w:t>
            </w:r>
          </w:p>
        </w:tc>
        <w:tc>
          <w:tcPr>
            <w:tcW w:w="101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cs="Arial"/>
                <w:color w:val="000000"/>
                <w:sz w:val="16"/>
                <w:szCs w:val="16"/>
              </w:rPr>
            </w:pPr>
            <w:r>
              <w:rPr>
                <w:rFonts w:cs="Arial"/>
                <w:color w:val="000000"/>
                <w:sz w:val="16"/>
                <w:szCs w:val="16"/>
              </w:rPr>
              <w:t>UNIDADE</w:t>
            </w:r>
          </w:p>
        </w:tc>
        <w:tc>
          <w:tcPr>
            <w:tcW w:w="79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cs="Arial"/>
                <w:color w:val="000000"/>
                <w:sz w:val="16"/>
                <w:szCs w:val="16"/>
              </w:rPr>
            </w:pPr>
            <w:r>
              <w:rPr>
                <w:rFonts w:cs="Arial"/>
                <w:color w:val="000000"/>
                <w:sz w:val="16"/>
                <w:szCs w:val="16"/>
              </w:rPr>
              <w:t>50</w:t>
            </w:r>
          </w:p>
        </w:tc>
        <w:tc>
          <w:tcPr>
            <w:tcW w:w="906" w:type="dxa"/>
            <w:tcBorders>
              <w:top w:val="single" w:sz="4" w:space="0" w:color="000000"/>
              <w:left w:val="single" w:sz="4" w:space="0" w:color="000000"/>
              <w:bottom w:val="single" w:sz="4" w:space="0" w:color="000000"/>
            </w:tcBorders>
            <w:vAlign w:val="center"/>
          </w:tcPr>
          <w:p>
            <w:pPr>
              <w:pStyle w:val="Normal"/>
              <w:widowControl w:val="false"/>
              <w:suppressAutoHyphens w:val="true"/>
              <w:spacing w:lineRule="auto" w:line="276" w:before="0" w:after="120"/>
              <w:jc w:val="center"/>
              <w:rPr>
                <w:rFonts w:cs="Arial"/>
                <w:color w:val="000000"/>
                <w:sz w:val="16"/>
                <w:szCs w:val="16"/>
              </w:rPr>
            </w:pPr>
            <w:r>
              <w:rPr>
                <w:rFonts w:cs="Arial"/>
                <w:color w:val="000000"/>
                <w:sz w:val="16"/>
                <w:szCs w:val="16"/>
              </w:rPr>
              <w:t>R$ 50,00</w:t>
            </w:r>
          </w:p>
        </w:tc>
        <w:tc>
          <w:tcPr>
            <w:tcW w:w="118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cs="Arial"/>
                <w:color w:val="000000"/>
                <w:sz w:val="16"/>
                <w:szCs w:val="16"/>
              </w:rPr>
            </w:pPr>
            <w:r>
              <w:rPr>
                <w:rFonts w:cs="Arial"/>
                <w:color w:val="000000"/>
                <w:sz w:val="16"/>
                <w:szCs w:val="16"/>
              </w:rPr>
              <w:t>R$ 2.500,00</w:t>
            </w:r>
          </w:p>
        </w:tc>
      </w:tr>
      <w:tr>
        <w:trPr/>
        <w:tc>
          <w:tcPr>
            <w:tcW w:w="62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cs="Arial"/>
                <w:b/>
                <w:b/>
                <w:color w:val="000000"/>
                <w:sz w:val="16"/>
                <w:szCs w:val="16"/>
              </w:rPr>
            </w:pPr>
            <w:r>
              <w:rPr>
                <w:rFonts w:cs="Arial"/>
                <w:b/>
                <w:color w:val="000000"/>
                <w:sz w:val="16"/>
                <w:szCs w:val="16"/>
              </w:rPr>
              <w:t>3</w:t>
            </w:r>
          </w:p>
        </w:tc>
        <w:tc>
          <w:tcPr>
            <w:tcW w:w="3011" w:type="dxa"/>
            <w:tcBorders>
              <w:top w:val="single" w:sz="4" w:space="0" w:color="000000"/>
              <w:left w:val="single" w:sz="4" w:space="0" w:color="000000"/>
              <w:bottom w:val="single" w:sz="4" w:space="0" w:color="000000"/>
              <w:right w:val="single" w:sz="4" w:space="0" w:color="000000"/>
            </w:tcBorders>
            <w:vAlign w:val="center"/>
          </w:tcPr>
          <w:p>
            <w:pPr>
              <w:pStyle w:val="Contedodatabela"/>
              <w:widowControl w:val="false"/>
              <w:suppressAutoHyphens w:val="true"/>
              <w:spacing w:lineRule="auto" w:line="276" w:before="0" w:after="120"/>
              <w:jc w:val="both"/>
              <w:rPr>
                <w:rFonts w:cs="Arial"/>
                <w:color w:val="000000"/>
                <w:sz w:val="16"/>
                <w:szCs w:val="16"/>
              </w:rPr>
            </w:pPr>
            <w:r>
              <w:rPr>
                <w:rFonts w:cs="Arial"/>
                <w:b w:val="false"/>
                <w:bCs w:val="false"/>
                <w:color w:val="000000"/>
                <w:sz w:val="16"/>
                <w:szCs w:val="16"/>
              </w:rPr>
              <w:t xml:space="preserve">MANUTENÇÃO DE 2º NÍVEL E RECARGA DE </w:t>
            </w:r>
            <w:r>
              <w:rPr>
                <w:rFonts w:cs="Arial"/>
                <w:b/>
                <w:bCs/>
                <w:color w:val="000000"/>
                <w:sz w:val="16"/>
                <w:szCs w:val="16"/>
              </w:rPr>
              <w:t>EXTINTORES BC PQ 8 KG</w:t>
            </w:r>
            <w:r>
              <w:rPr>
                <w:rFonts w:cs="Arial"/>
                <w:b w:val="false"/>
                <w:bCs w:val="false"/>
                <w:color w:val="000000"/>
                <w:sz w:val="16"/>
                <w:szCs w:val="16"/>
              </w:rPr>
              <w:t xml:space="preserve"> E EM SEUS COMPONENTES, CONFORME ESPECIFICAÇÕES DA NBR 12962, INCLUINDO SUBSTITUIÇÕES DE PEÇAS DEFEITUOSAS.</w:t>
            </w:r>
          </w:p>
        </w:tc>
        <w:tc>
          <w:tcPr>
            <w:tcW w:w="9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cs="Arial"/>
                <w:color w:val="000000"/>
                <w:sz w:val="16"/>
                <w:szCs w:val="16"/>
              </w:rPr>
            </w:pPr>
            <w:r>
              <w:rPr>
                <w:rFonts w:cs="Arial"/>
                <w:color w:val="000000"/>
                <w:sz w:val="16"/>
                <w:szCs w:val="16"/>
              </w:rPr>
              <w:t>3662</w:t>
            </w:r>
          </w:p>
        </w:tc>
        <w:tc>
          <w:tcPr>
            <w:tcW w:w="101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cs="Arial"/>
                <w:color w:val="000000"/>
                <w:sz w:val="16"/>
                <w:szCs w:val="16"/>
              </w:rPr>
            </w:pPr>
            <w:r>
              <w:rPr>
                <w:rFonts w:cs="Arial"/>
                <w:color w:val="000000"/>
                <w:sz w:val="16"/>
                <w:szCs w:val="16"/>
              </w:rPr>
              <w:t>UNIDADE</w:t>
            </w:r>
          </w:p>
        </w:tc>
        <w:tc>
          <w:tcPr>
            <w:tcW w:w="79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cs="Arial"/>
                <w:color w:val="000000"/>
                <w:sz w:val="16"/>
                <w:szCs w:val="16"/>
              </w:rPr>
            </w:pPr>
            <w:r>
              <w:rPr>
                <w:rFonts w:cs="Arial"/>
                <w:color w:val="000000"/>
                <w:sz w:val="16"/>
                <w:szCs w:val="16"/>
              </w:rPr>
              <w:t>02</w:t>
            </w:r>
          </w:p>
        </w:tc>
        <w:tc>
          <w:tcPr>
            <w:tcW w:w="906" w:type="dxa"/>
            <w:tcBorders>
              <w:top w:val="single" w:sz="4" w:space="0" w:color="000000"/>
              <w:left w:val="single" w:sz="4" w:space="0" w:color="000000"/>
              <w:bottom w:val="single" w:sz="4" w:space="0" w:color="000000"/>
            </w:tcBorders>
            <w:vAlign w:val="center"/>
          </w:tcPr>
          <w:p>
            <w:pPr>
              <w:pStyle w:val="Normal"/>
              <w:widowControl w:val="false"/>
              <w:suppressAutoHyphens w:val="true"/>
              <w:spacing w:lineRule="auto" w:line="276" w:before="0" w:after="120"/>
              <w:jc w:val="center"/>
              <w:rPr>
                <w:rFonts w:cs="Arial"/>
                <w:color w:val="000000"/>
                <w:sz w:val="16"/>
                <w:szCs w:val="16"/>
              </w:rPr>
            </w:pPr>
            <w:r>
              <w:rPr>
                <w:rFonts w:cs="Arial"/>
                <w:color w:val="000000"/>
                <w:sz w:val="16"/>
                <w:szCs w:val="16"/>
              </w:rPr>
              <w:t>R$ 70,00</w:t>
            </w:r>
          </w:p>
        </w:tc>
        <w:tc>
          <w:tcPr>
            <w:tcW w:w="118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cs="Arial"/>
                <w:color w:val="000000"/>
                <w:sz w:val="16"/>
                <w:szCs w:val="16"/>
              </w:rPr>
            </w:pPr>
            <w:r>
              <w:rPr>
                <w:rFonts w:cs="Arial"/>
                <w:color w:val="000000"/>
                <w:sz w:val="16"/>
                <w:szCs w:val="16"/>
              </w:rPr>
              <w:t>R$ 140,00</w:t>
            </w:r>
          </w:p>
        </w:tc>
      </w:tr>
      <w:tr>
        <w:trPr/>
        <w:tc>
          <w:tcPr>
            <w:tcW w:w="622"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cs="Arial"/>
                <w:b/>
                <w:b/>
                <w:color w:val="000000"/>
                <w:sz w:val="16"/>
                <w:szCs w:val="16"/>
              </w:rPr>
            </w:pPr>
            <w:r>
              <w:rPr>
                <w:rFonts w:cs="Arial"/>
                <w:b/>
                <w:color w:val="000000"/>
                <w:sz w:val="16"/>
                <w:szCs w:val="16"/>
              </w:rPr>
              <w:t>4</w:t>
            </w:r>
          </w:p>
        </w:tc>
        <w:tc>
          <w:tcPr>
            <w:tcW w:w="3011" w:type="dxa"/>
            <w:tcBorders>
              <w:left w:val="single" w:sz="4" w:space="0" w:color="000000"/>
              <w:bottom w:val="single" w:sz="4" w:space="0" w:color="000000"/>
              <w:right w:val="single" w:sz="4" w:space="0" w:color="000000"/>
            </w:tcBorders>
            <w:vAlign w:val="center"/>
          </w:tcPr>
          <w:p>
            <w:pPr>
              <w:pStyle w:val="Contedodatabela"/>
              <w:widowControl w:val="false"/>
              <w:suppressAutoHyphens w:val="true"/>
              <w:spacing w:lineRule="auto" w:line="276" w:before="0" w:after="120"/>
              <w:jc w:val="both"/>
              <w:rPr>
                <w:rFonts w:cs="Arial"/>
                <w:color w:val="000000"/>
                <w:sz w:val="16"/>
                <w:szCs w:val="16"/>
              </w:rPr>
            </w:pPr>
            <w:r>
              <w:rPr>
                <w:rFonts w:cs="Arial"/>
                <w:b w:val="false"/>
                <w:bCs w:val="false"/>
                <w:color w:val="000000"/>
                <w:sz w:val="16"/>
                <w:szCs w:val="16"/>
              </w:rPr>
              <w:t xml:space="preserve">MANUTENÇÃO DE 2º NÍVEL E RECARGA DE </w:t>
            </w:r>
            <w:r>
              <w:rPr>
                <w:rFonts w:cs="Arial"/>
                <w:b/>
                <w:bCs/>
                <w:color w:val="000000"/>
                <w:sz w:val="16"/>
                <w:szCs w:val="16"/>
              </w:rPr>
              <w:t>EXTINTORES BC PQ 6 KG</w:t>
            </w:r>
            <w:r>
              <w:rPr>
                <w:rFonts w:cs="Arial"/>
                <w:b w:val="false"/>
                <w:bCs w:val="false"/>
                <w:color w:val="000000"/>
                <w:sz w:val="16"/>
                <w:szCs w:val="16"/>
              </w:rPr>
              <w:t xml:space="preserve"> E EM SEUS COMPONENTES, CONFORME ESPECIFICAÇÕES DA NBR 12962, INCLUINDO SUBSTITUIÇÕES DE PEÇAS DEFEITUOSAS.</w:t>
            </w:r>
          </w:p>
        </w:tc>
        <w:tc>
          <w:tcPr>
            <w:tcW w:w="905"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cs="Arial"/>
                <w:color w:val="000000"/>
                <w:sz w:val="16"/>
                <w:szCs w:val="16"/>
              </w:rPr>
            </w:pPr>
            <w:r>
              <w:rPr>
                <w:rFonts w:cs="Arial"/>
                <w:color w:val="000000"/>
                <w:sz w:val="16"/>
                <w:szCs w:val="16"/>
              </w:rPr>
              <w:t>3662</w:t>
            </w:r>
          </w:p>
        </w:tc>
        <w:tc>
          <w:tcPr>
            <w:tcW w:w="1015"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cs="Arial"/>
                <w:color w:val="000000"/>
                <w:sz w:val="16"/>
                <w:szCs w:val="16"/>
              </w:rPr>
            </w:pPr>
            <w:r>
              <w:rPr>
                <w:rFonts w:cs="Arial"/>
                <w:color w:val="000000"/>
                <w:sz w:val="16"/>
                <w:szCs w:val="16"/>
              </w:rPr>
              <w:t>UNIDADE</w:t>
            </w:r>
          </w:p>
        </w:tc>
        <w:tc>
          <w:tcPr>
            <w:tcW w:w="796"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cs="Arial"/>
                <w:color w:val="000000"/>
                <w:sz w:val="16"/>
                <w:szCs w:val="16"/>
              </w:rPr>
            </w:pPr>
            <w:r>
              <w:rPr>
                <w:rFonts w:cs="Arial"/>
                <w:color w:val="000000"/>
                <w:sz w:val="16"/>
                <w:szCs w:val="16"/>
              </w:rPr>
              <w:t>26</w:t>
            </w:r>
          </w:p>
        </w:tc>
        <w:tc>
          <w:tcPr>
            <w:tcW w:w="906" w:type="dxa"/>
            <w:tcBorders>
              <w:left w:val="single" w:sz="4" w:space="0" w:color="000000"/>
              <w:bottom w:val="single" w:sz="4" w:space="0" w:color="000000"/>
            </w:tcBorders>
            <w:vAlign w:val="center"/>
          </w:tcPr>
          <w:p>
            <w:pPr>
              <w:pStyle w:val="Normal"/>
              <w:widowControl w:val="false"/>
              <w:suppressAutoHyphens w:val="true"/>
              <w:spacing w:lineRule="auto" w:line="276" w:before="0" w:after="120"/>
              <w:jc w:val="center"/>
              <w:rPr>
                <w:rFonts w:cs="Arial"/>
                <w:color w:val="000000"/>
                <w:sz w:val="16"/>
                <w:szCs w:val="16"/>
              </w:rPr>
            </w:pPr>
            <w:r>
              <w:rPr>
                <w:rFonts w:cs="Arial"/>
                <w:color w:val="000000"/>
                <w:sz w:val="16"/>
                <w:szCs w:val="16"/>
              </w:rPr>
              <w:t>R$ 60,00</w:t>
            </w:r>
          </w:p>
        </w:tc>
        <w:tc>
          <w:tcPr>
            <w:tcW w:w="1189"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cs="Arial"/>
                <w:color w:val="000000"/>
                <w:sz w:val="16"/>
                <w:szCs w:val="16"/>
              </w:rPr>
            </w:pPr>
            <w:r>
              <w:rPr>
                <w:rFonts w:cs="Arial"/>
                <w:color w:val="000000"/>
                <w:sz w:val="16"/>
                <w:szCs w:val="16"/>
              </w:rPr>
              <w:t>R$ 1.560,00</w:t>
            </w:r>
          </w:p>
        </w:tc>
      </w:tr>
      <w:tr>
        <w:trPr/>
        <w:tc>
          <w:tcPr>
            <w:tcW w:w="622"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cs="Arial"/>
                <w:b/>
                <w:b/>
                <w:color w:val="000000"/>
                <w:sz w:val="16"/>
                <w:szCs w:val="16"/>
              </w:rPr>
            </w:pPr>
            <w:r>
              <w:rPr>
                <w:rFonts w:cs="Arial"/>
                <w:b/>
                <w:color w:val="000000"/>
                <w:sz w:val="16"/>
                <w:szCs w:val="16"/>
              </w:rPr>
              <w:t>5</w:t>
            </w:r>
          </w:p>
        </w:tc>
        <w:tc>
          <w:tcPr>
            <w:tcW w:w="3011" w:type="dxa"/>
            <w:tcBorders>
              <w:left w:val="single" w:sz="4" w:space="0" w:color="000000"/>
              <w:bottom w:val="single" w:sz="4" w:space="0" w:color="000000"/>
              <w:right w:val="single" w:sz="4" w:space="0" w:color="000000"/>
            </w:tcBorders>
            <w:vAlign w:val="center"/>
          </w:tcPr>
          <w:p>
            <w:pPr>
              <w:pStyle w:val="Contedodatabela"/>
              <w:widowControl w:val="false"/>
              <w:suppressAutoHyphens w:val="true"/>
              <w:spacing w:lineRule="auto" w:line="276" w:before="0" w:after="120"/>
              <w:jc w:val="both"/>
              <w:rPr>
                <w:rFonts w:cs="Arial"/>
                <w:color w:val="000000"/>
                <w:sz w:val="16"/>
                <w:szCs w:val="16"/>
              </w:rPr>
            </w:pPr>
            <w:r>
              <w:rPr>
                <w:rFonts w:cs="Arial"/>
                <w:b w:val="false"/>
                <w:bCs w:val="false"/>
                <w:color w:val="000000"/>
                <w:sz w:val="16"/>
                <w:szCs w:val="16"/>
              </w:rPr>
              <w:t>MANUTENÇÃO DE 2º NÍVEL E RECARGA DE E</w:t>
            </w:r>
            <w:r>
              <w:rPr>
                <w:rFonts w:cs="Arial"/>
                <w:b/>
                <w:bCs/>
                <w:color w:val="000000"/>
                <w:sz w:val="16"/>
                <w:szCs w:val="16"/>
              </w:rPr>
              <w:t>XTINTORES BC PQ 4 KG</w:t>
            </w:r>
            <w:r>
              <w:rPr>
                <w:rFonts w:cs="Arial"/>
                <w:b w:val="false"/>
                <w:bCs w:val="false"/>
                <w:color w:val="000000"/>
                <w:sz w:val="16"/>
                <w:szCs w:val="16"/>
              </w:rPr>
              <w:t xml:space="preserve"> E EM SEUS COMPONENTES, CONFORME ESPECIFICAÇÕES DA NBR 12962, INCLUINDO SUBSTITUIÇÕES DE PEÇAS DEFEITUOSAS.</w:t>
            </w:r>
          </w:p>
        </w:tc>
        <w:tc>
          <w:tcPr>
            <w:tcW w:w="905"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cs="Arial"/>
                <w:color w:val="000000"/>
                <w:sz w:val="16"/>
                <w:szCs w:val="16"/>
              </w:rPr>
            </w:pPr>
            <w:r>
              <w:rPr>
                <w:rFonts w:cs="Arial"/>
                <w:color w:val="000000"/>
                <w:sz w:val="16"/>
                <w:szCs w:val="16"/>
              </w:rPr>
              <w:t>3662</w:t>
            </w:r>
          </w:p>
        </w:tc>
        <w:tc>
          <w:tcPr>
            <w:tcW w:w="1015"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cs="Arial"/>
                <w:color w:val="000000"/>
                <w:sz w:val="16"/>
                <w:szCs w:val="16"/>
              </w:rPr>
            </w:pPr>
            <w:r>
              <w:rPr>
                <w:rFonts w:cs="Arial"/>
                <w:color w:val="000000"/>
                <w:sz w:val="16"/>
                <w:szCs w:val="16"/>
              </w:rPr>
              <w:t>UNIDADE</w:t>
            </w:r>
          </w:p>
        </w:tc>
        <w:tc>
          <w:tcPr>
            <w:tcW w:w="796"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cs="Arial"/>
                <w:color w:val="000000"/>
                <w:sz w:val="16"/>
                <w:szCs w:val="16"/>
              </w:rPr>
            </w:pPr>
            <w:r>
              <w:rPr>
                <w:rFonts w:cs="Arial"/>
                <w:color w:val="000000"/>
                <w:sz w:val="16"/>
                <w:szCs w:val="16"/>
              </w:rPr>
              <w:t>18</w:t>
            </w:r>
          </w:p>
        </w:tc>
        <w:tc>
          <w:tcPr>
            <w:tcW w:w="906" w:type="dxa"/>
            <w:tcBorders>
              <w:left w:val="single" w:sz="4" w:space="0" w:color="000000"/>
              <w:bottom w:val="single" w:sz="4" w:space="0" w:color="000000"/>
            </w:tcBorders>
            <w:vAlign w:val="center"/>
          </w:tcPr>
          <w:p>
            <w:pPr>
              <w:pStyle w:val="Normal"/>
              <w:widowControl w:val="false"/>
              <w:suppressAutoHyphens w:val="true"/>
              <w:spacing w:lineRule="auto" w:line="276" w:before="0" w:after="120"/>
              <w:jc w:val="center"/>
              <w:rPr>
                <w:rFonts w:cs="Arial"/>
                <w:color w:val="000000"/>
                <w:sz w:val="16"/>
                <w:szCs w:val="16"/>
              </w:rPr>
            </w:pPr>
            <w:r>
              <w:rPr>
                <w:rFonts w:cs="Arial"/>
                <w:color w:val="000000"/>
                <w:sz w:val="16"/>
                <w:szCs w:val="16"/>
              </w:rPr>
              <w:t>R$ 40,00</w:t>
            </w:r>
          </w:p>
        </w:tc>
        <w:tc>
          <w:tcPr>
            <w:tcW w:w="1189"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cs="Arial"/>
                <w:color w:val="000000"/>
                <w:sz w:val="16"/>
                <w:szCs w:val="16"/>
              </w:rPr>
            </w:pPr>
            <w:r>
              <w:rPr>
                <w:rFonts w:cs="Arial"/>
                <w:color w:val="000000"/>
                <w:sz w:val="16"/>
                <w:szCs w:val="16"/>
              </w:rPr>
              <w:t>R$ 720,00</w:t>
            </w:r>
          </w:p>
        </w:tc>
      </w:tr>
      <w:tr>
        <w:trPr/>
        <w:tc>
          <w:tcPr>
            <w:tcW w:w="622"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cs="Arial"/>
                <w:b/>
                <w:b/>
                <w:color w:val="000000"/>
                <w:sz w:val="16"/>
                <w:szCs w:val="16"/>
              </w:rPr>
            </w:pPr>
            <w:r>
              <w:rPr>
                <w:rFonts w:cs="Arial"/>
                <w:b/>
                <w:color w:val="000000"/>
                <w:sz w:val="16"/>
                <w:szCs w:val="16"/>
              </w:rPr>
              <w:t>6</w:t>
            </w:r>
          </w:p>
        </w:tc>
        <w:tc>
          <w:tcPr>
            <w:tcW w:w="3011" w:type="dxa"/>
            <w:tcBorders>
              <w:left w:val="single" w:sz="4" w:space="0" w:color="000000"/>
              <w:bottom w:val="single" w:sz="4" w:space="0" w:color="000000"/>
              <w:right w:val="single" w:sz="4" w:space="0" w:color="000000"/>
            </w:tcBorders>
            <w:vAlign w:val="center"/>
          </w:tcPr>
          <w:p>
            <w:pPr>
              <w:pStyle w:val="Contedodatabela"/>
              <w:widowControl w:val="false"/>
              <w:suppressAutoHyphens w:val="true"/>
              <w:spacing w:lineRule="auto" w:line="276" w:before="0" w:after="120"/>
              <w:jc w:val="both"/>
              <w:rPr>
                <w:rFonts w:cs="Arial"/>
                <w:color w:val="000000"/>
                <w:sz w:val="16"/>
                <w:szCs w:val="16"/>
              </w:rPr>
            </w:pPr>
            <w:r>
              <w:rPr>
                <w:rFonts w:cs="Arial"/>
                <w:b w:val="false"/>
                <w:bCs w:val="false"/>
                <w:color w:val="000000"/>
                <w:sz w:val="16"/>
                <w:szCs w:val="16"/>
              </w:rPr>
              <w:t xml:space="preserve">MANUTENÇÃO DE 2º NÍVEL E RECARGA DE </w:t>
            </w:r>
            <w:r>
              <w:rPr>
                <w:rFonts w:cs="Arial"/>
                <w:b/>
                <w:bCs/>
                <w:color w:val="000000"/>
                <w:sz w:val="16"/>
                <w:szCs w:val="16"/>
              </w:rPr>
              <w:t>EXTINTORES CO2 4 KG</w:t>
            </w:r>
            <w:r>
              <w:rPr>
                <w:rFonts w:cs="Arial"/>
                <w:b w:val="false"/>
                <w:bCs w:val="false"/>
                <w:color w:val="000000"/>
                <w:sz w:val="16"/>
                <w:szCs w:val="16"/>
              </w:rPr>
              <w:t xml:space="preserve"> E EM SEUS COMPONENTES, CONFORME ESPECIFICAÇÕES DA NBR 12962, INCLUINDO SUBSTITUIÇÕES DE PEÇAS DEFEITUOSAS.</w:t>
            </w:r>
          </w:p>
        </w:tc>
        <w:tc>
          <w:tcPr>
            <w:tcW w:w="905"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cs="Arial"/>
                <w:color w:val="000000"/>
                <w:sz w:val="16"/>
                <w:szCs w:val="16"/>
              </w:rPr>
            </w:pPr>
            <w:r>
              <w:rPr>
                <w:rFonts w:cs="Arial"/>
                <w:color w:val="000000"/>
                <w:sz w:val="16"/>
                <w:szCs w:val="16"/>
              </w:rPr>
              <w:t>3662</w:t>
            </w:r>
          </w:p>
        </w:tc>
        <w:tc>
          <w:tcPr>
            <w:tcW w:w="1015"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cs="Arial"/>
                <w:color w:val="000000"/>
                <w:sz w:val="16"/>
                <w:szCs w:val="16"/>
              </w:rPr>
            </w:pPr>
            <w:r>
              <w:rPr>
                <w:rFonts w:cs="Arial"/>
                <w:color w:val="000000"/>
                <w:sz w:val="16"/>
                <w:szCs w:val="16"/>
              </w:rPr>
              <w:t>UNIDADE</w:t>
            </w:r>
          </w:p>
        </w:tc>
        <w:tc>
          <w:tcPr>
            <w:tcW w:w="796"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cs="Arial"/>
                <w:color w:val="000000"/>
                <w:sz w:val="16"/>
                <w:szCs w:val="16"/>
              </w:rPr>
            </w:pPr>
            <w:r>
              <w:rPr>
                <w:rFonts w:cs="Arial"/>
                <w:color w:val="000000"/>
                <w:sz w:val="16"/>
                <w:szCs w:val="16"/>
              </w:rPr>
              <w:t>10</w:t>
            </w:r>
          </w:p>
        </w:tc>
        <w:tc>
          <w:tcPr>
            <w:tcW w:w="906" w:type="dxa"/>
            <w:tcBorders>
              <w:left w:val="single" w:sz="4" w:space="0" w:color="000000"/>
              <w:bottom w:val="single" w:sz="4" w:space="0" w:color="000000"/>
            </w:tcBorders>
            <w:vAlign w:val="center"/>
          </w:tcPr>
          <w:p>
            <w:pPr>
              <w:pStyle w:val="Normal"/>
              <w:widowControl w:val="false"/>
              <w:suppressAutoHyphens w:val="true"/>
              <w:spacing w:lineRule="auto" w:line="276" w:before="0" w:after="120"/>
              <w:jc w:val="center"/>
              <w:rPr>
                <w:rFonts w:cs="Arial"/>
                <w:color w:val="000000"/>
                <w:sz w:val="16"/>
                <w:szCs w:val="16"/>
              </w:rPr>
            </w:pPr>
            <w:r>
              <w:rPr>
                <w:rFonts w:cs="Arial"/>
                <w:color w:val="000000"/>
                <w:sz w:val="16"/>
                <w:szCs w:val="16"/>
              </w:rPr>
              <w:t>R$ 90,00</w:t>
            </w:r>
          </w:p>
        </w:tc>
        <w:tc>
          <w:tcPr>
            <w:tcW w:w="1189"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cs="Arial"/>
                <w:color w:val="000000"/>
                <w:sz w:val="16"/>
                <w:szCs w:val="16"/>
              </w:rPr>
            </w:pPr>
            <w:r>
              <w:rPr>
                <w:rFonts w:cs="Arial"/>
                <w:color w:val="000000"/>
                <w:sz w:val="16"/>
                <w:szCs w:val="16"/>
              </w:rPr>
              <w:t>R$ 900,00</w:t>
            </w:r>
          </w:p>
        </w:tc>
      </w:tr>
      <w:tr>
        <w:trPr/>
        <w:tc>
          <w:tcPr>
            <w:tcW w:w="622"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cs="Arial"/>
                <w:b/>
                <w:b/>
                <w:color w:val="000000"/>
                <w:sz w:val="16"/>
                <w:szCs w:val="16"/>
              </w:rPr>
            </w:pPr>
            <w:r>
              <w:rPr>
                <w:rFonts w:cs="Arial"/>
                <w:b/>
                <w:color w:val="000000"/>
                <w:sz w:val="16"/>
                <w:szCs w:val="16"/>
              </w:rPr>
              <w:t>7</w:t>
            </w:r>
          </w:p>
        </w:tc>
        <w:tc>
          <w:tcPr>
            <w:tcW w:w="3011" w:type="dxa"/>
            <w:tcBorders>
              <w:left w:val="single" w:sz="4" w:space="0" w:color="000000"/>
              <w:bottom w:val="single" w:sz="4" w:space="0" w:color="000000"/>
              <w:right w:val="single" w:sz="4" w:space="0" w:color="000000"/>
            </w:tcBorders>
            <w:vAlign w:val="center"/>
          </w:tcPr>
          <w:p>
            <w:pPr>
              <w:pStyle w:val="Contedodatabela"/>
              <w:widowControl w:val="false"/>
              <w:suppressAutoHyphens w:val="true"/>
              <w:spacing w:lineRule="auto" w:line="276" w:before="0" w:after="120"/>
              <w:jc w:val="both"/>
              <w:rPr>
                <w:rFonts w:cs="Arial"/>
                <w:color w:val="000000"/>
                <w:sz w:val="16"/>
                <w:szCs w:val="16"/>
              </w:rPr>
            </w:pPr>
            <w:r>
              <w:rPr>
                <w:rFonts w:cs="Arial"/>
                <w:b w:val="false"/>
                <w:bCs w:val="false"/>
                <w:color w:val="000000"/>
                <w:sz w:val="16"/>
                <w:szCs w:val="16"/>
              </w:rPr>
              <w:t xml:space="preserve">MANUTENÇÃO DE 2º NÍVEL E RECARGA DE </w:t>
            </w:r>
            <w:r>
              <w:rPr>
                <w:rFonts w:cs="Arial"/>
                <w:b/>
                <w:bCs/>
                <w:color w:val="000000"/>
                <w:sz w:val="16"/>
                <w:szCs w:val="16"/>
              </w:rPr>
              <w:t>EXTINTORES CO2 6 KG</w:t>
            </w:r>
            <w:r>
              <w:rPr>
                <w:rFonts w:cs="Arial"/>
                <w:b w:val="false"/>
                <w:bCs w:val="false"/>
                <w:color w:val="000000"/>
                <w:sz w:val="16"/>
                <w:szCs w:val="16"/>
              </w:rPr>
              <w:t xml:space="preserve"> E EM SEUS COMPONENTES, CONFORME ESPECIFICAÇÕES DA NBR 12962, INCLUINDO SUBSTITUIÇÕES DE PEÇAS DEFEITUOSAS.</w:t>
            </w:r>
          </w:p>
        </w:tc>
        <w:tc>
          <w:tcPr>
            <w:tcW w:w="905"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cs="Arial"/>
                <w:color w:val="000000"/>
                <w:sz w:val="16"/>
                <w:szCs w:val="16"/>
              </w:rPr>
            </w:pPr>
            <w:r>
              <w:rPr>
                <w:rFonts w:cs="Arial"/>
                <w:color w:val="000000"/>
                <w:sz w:val="16"/>
                <w:szCs w:val="16"/>
              </w:rPr>
              <w:t>3662</w:t>
            </w:r>
          </w:p>
        </w:tc>
        <w:tc>
          <w:tcPr>
            <w:tcW w:w="1015"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cs="Arial"/>
                <w:color w:val="000000"/>
                <w:sz w:val="16"/>
                <w:szCs w:val="16"/>
              </w:rPr>
            </w:pPr>
            <w:r>
              <w:rPr>
                <w:rFonts w:cs="Arial"/>
                <w:color w:val="000000"/>
                <w:sz w:val="16"/>
                <w:szCs w:val="16"/>
              </w:rPr>
              <w:t>UNIDADE</w:t>
            </w:r>
          </w:p>
        </w:tc>
        <w:tc>
          <w:tcPr>
            <w:tcW w:w="796"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cs="Arial"/>
                <w:color w:val="000000"/>
                <w:sz w:val="16"/>
                <w:szCs w:val="16"/>
              </w:rPr>
            </w:pPr>
            <w:r>
              <w:rPr>
                <w:rFonts w:cs="Arial"/>
                <w:color w:val="000000"/>
                <w:sz w:val="16"/>
                <w:szCs w:val="16"/>
              </w:rPr>
              <w:t>32</w:t>
            </w:r>
          </w:p>
        </w:tc>
        <w:tc>
          <w:tcPr>
            <w:tcW w:w="906" w:type="dxa"/>
            <w:tcBorders>
              <w:left w:val="single" w:sz="4" w:space="0" w:color="000000"/>
              <w:bottom w:val="single" w:sz="4" w:space="0" w:color="000000"/>
            </w:tcBorders>
            <w:vAlign w:val="center"/>
          </w:tcPr>
          <w:p>
            <w:pPr>
              <w:pStyle w:val="Normal"/>
              <w:widowControl w:val="false"/>
              <w:suppressAutoHyphens w:val="true"/>
              <w:spacing w:lineRule="auto" w:line="276" w:before="0" w:after="120"/>
              <w:jc w:val="center"/>
              <w:rPr>
                <w:rFonts w:cs="Arial"/>
                <w:color w:val="000000"/>
                <w:sz w:val="16"/>
                <w:szCs w:val="16"/>
              </w:rPr>
            </w:pPr>
            <w:r>
              <w:rPr>
                <w:rFonts w:cs="Arial"/>
                <w:color w:val="000000"/>
                <w:sz w:val="16"/>
                <w:szCs w:val="16"/>
              </w:rPr>
              <w:t>R$ 110,00</w:t>
            </w:r>
          </w:p>
        </w:tc>
        <w:tc>
          <w:tcPr>
            <w:tcW w:w="1189"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cs="Arial"/>
                <w:color w:val="000000"/>
                <w:sz w:val="16"/>
                <w:szCs w:val="16"/>
              </w:rPr>
            </w:pPr>
            <w:r>
              <w:rPr>
                <w:rFonts w:cs="Arial"/>
                <w:color w:val="000000"/>
                <w:sz w:val="16"/>
                <w:szCs w:val="16"/>
              </w:rPr>
              <w:t>R$ 3.520,00</w:t>
            </w:r>
          </w:p>
        </w:tc>
      </w:tr>
      <w:tr>
        <w:trPr/>
        <w:tc>
          <w:tcPr>
            <w:tcW w:w="622"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cs="Arial"/>
                <w:b/>
                <w:b/>
                <w:color w:val="000000"/>
                <w:sz w:val="16"/>
                <w:szCs w:val="16"/>
              </w:rPr>
            </w:pPr>
            <w:r>
              <w:rPr>
                <w:rFonts w:cs="Arial"/>
                <w:b/>
                <w:color w:val="000000"/>
                <w:sz w:val="16"/>
                <w:szCs w:val="16"/>
              </w:rPr>
              <w:t>8</w:t>
            </w:r>
          </w:p>
        </w:tc>
        <w:tc>
          <w:tcPr>
            <w:tcW w:w="3011" w:type="dxa"/>
            <w:tcBorders>
              <w:left w:val="single" w:sz="4" w:space="0" w:color="000000"/>
              <w:bottom w:val="single" w:sz="4" w:space="0" w:color="000000"/>
              <w:right w:val="single" w:sz="4" w:space="0" w:color="000000"/>
            </w:tcBorders>
            <w:vAlign w:val="center"/>
          </w:tcPr>
          <w:p>
            <w:pPr>
              <w:pStyle w:val="Contedodatabela"/>
              <w:widowControl w:val="false"/>
              <w:suppressAutoHyphens w:val="true"/>
              <w:spacing w:lineRule="auto" w:line="276" w:before="0" w:after="120"/>
              <w:jc w:val="both"/>
              <w:rPr>
                <w:rFonts w:cs="Arial"/>
                <w:color w:val="000000"/>
                <w:sz w:val="16"/>
                <w:szCs w:val="16"/>
              </w:rPr>
            </w:pPr>
            <w:r>
              <w:rPr>
                <w:rFonts w:cs="Arial"/>
                <w:b w:val="false"/>
                <w:bCs w:val="false"/>
                <w:color w:val="000000"/>
                <w:sz w:val="16"/>
                <w:szCs w:val="16"/>
              </w:rPr>
              <w:t xml:space="preserve">MANUTENÇÃO DE 2º NÍVEL E RECARGA DE </w:t>
            </w:r>
            <w:r>
              <w:rPr>
                <w:rFonts w:cs="Arial"/>
                <w:b/>
                <w:bCs/>
                <w:color w:val="000000"/>
                <w:sz w:val="16"/>
                <w:szCs w:val="16"/>
              </w:rPr>
              <w:t>EXTINTORES ÁGUA PRESSURIZADA 10 L</w:t>
            </w:r>
            <w:r>
              <w:rPr>
                <w:rFonts w:cs="Arial"/>
                <w:b w:val="false"/>
                <w:bCs w:val="false"/>
                <w:color w:val="000000"/>
                <w:sz w:val="16"/>
                <w:szCs w:val="16"/>
              </w:rPr>
              <w:t xml:space="preserve"> E EM SEUS COMPONENTES, CONFORME ESPECIFICAÇÕES DA NBR 12962, INCLUINDO SUBSTITUIÇÕES DE PEÇAS DEFEITUOSAS.</w:t>
            </w:r>
          </w:p>
        </w:tc>
        <w:tc>
          <w:tcPr>
            <w:tcW w:w="905"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cs="Arial"/>
                <w:color w:val="000000"/>
                <w:sz w:val="16"/>
                <w:szCs w:val="16"/>
              </w:rPr>
            </w:pPr>
            <w:r>
              <w:rPr>
                <w:rFonts w:cs="Arial"/>
                <w:color w:val="000000"/>
                <w:sz w:val="16"/>
                <w:szCs w:val="16"/>
              </w:rPr>
              <w:t>3662</w:t>
            </w:r>
          </w:p>
        </w:tc>
        <w:tc>
          <w:tcPr>
            <w:tcW w:w="1015"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cs="Arial"/>
                <w:color w:val="000000"/>
                <w:sz w:val="16"/>
                <w:szCs w:val="16"/>
              </w:rPr>
            </w:pPr>
            <w:r>
              <w:rPr>
                <w:rFonts w:cs="Arial"/>
                <w:color w:val="000000"/>
                <w:sz w:val="16"/>
                <w:szCs w:val="16"/>
              </w:rPr>
              <w:t>UNIDADE</w:t>
            </w:r>
          </w:p>
        </w:tc>
        <w:tc>
          <w:tcPr>
            <w:tcW w:w="796"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cs="Arial"/>
                <w:color w:val="000000"/>
                <w:sz w:val="16"/>
                <w:szCs w:val="16"/>
              </w:rPr>
            </w:pPr>
            <w:r>
              <w:rPr>
                <w:rFonts w:cs="Arial"/>
                <w:color w:val="000000"/>
                <w:sz w:val="16"/>
                <w:szCs w:val="16"/>
              </w:rPr>
              <w:t>20</w:t>
            </w:r>
          </w:p>
        </w:tc>
        <w:tc>
          <w:tcPr>
            <w:tcW w:w="906" w:type="dxa"/>
            <w:tcBorders>
              <w:left w:val="single" w:sz="4" w:space="0" w:color="000000"/>
              <w:bottom w:val="single" w:sz="4" w:space="0" w:color="000000"/>
            </w:tcBorders>
            <w:vAlign w:val="center"/>
          </w:tcPr>
          <w:p>
            <w:pPr>
              <w:pStyle w:val="Normal"/>
              <w:widowControl w:val="false"/>
              <w:suppressAutoHyphens w:val="true"/>
              <w:spacing w:lineRule="auto" w:line="276" w:before="0" w:after="120"/>
              <w:jc w:val="center"/>
              <w:rPr>
                <w:rFonts w:cs="Arial"/>
                <w:color w:val="000000"/>
                <w:sz w:val="16"/>
                <w:szCs w:val="16"/>
              </w:rPr>
            </w:pPr>
            <w:r>
              <w:rPr>
                <w:rFonts w:cs="Arial"/>
                <w:color w:val="000000"/>
                <w:sz w:val="16"/>
                <w:szCs w:val="16"/>
              </w:rPr>
              <w:t>R$ 50,00</w:t>
            </w:r>
          </w:p>
        </w:tc>
        <w:tc>
          <w:tcPr>
            <w:tcW w:w="1189"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cs="Arial"/>
                <w:color w:val="000000"/>
                <w:sz w:val="16"/>
                <w:szCs w:val="16"/>
              </w:rPr>
            </w:pPr>
            <w:r>
              <w:rPr>
                <w:rFonts w:cs="Arial"/>
                <w:color w:val="000000"/>
                <w:sz w:val="16"/>
                <w:szCs w:val="16"/>
              </w:rPr>
              <w:t>R$ 1.000,00</w:t>
            </w:r>
          </w:p>
        </w:tc>
      </w:tr>
    </w:tbl>
    <w:p>
      <w:pPr>
        <w:pStyle w:val="Quote"/>
        <w:tabs>
          <w:tab w:val="clear" w:pos="708"/>
          <w:tab w:val="center" w:pos="4252" w:leader="none"/>
          <w:tab w:val="left" w:pos="5823" w:leader="none"/>
        </w:tabs>
        <w:spacing w:lineRule="auto" w:line="276" w:before="0" w:after="0"/>
        <w:rPr>
          <w:rFonts w:cs="Arial"/>
          <w:bCs/>
          <w:szCs w:val="20"/>
        </w:rPr>
      </w:pPr>
      <w:r>
        <w:rPr>
          <w:rFonts w:cs="Arial"/>
          <w:b/>
          <w:szCs w:val="20"/>
        </w:rPr>
        <w:t xml:space="preserve">Nota Explicativa: </w:t>
      </w:r>
      <w:r>
        <w:rPr>
          <w:rFonts w:cs="Arial"/>
          <w:bCs/>
          <w:szCs w:val="20"/>
        </w:rPr>
        <w:t>A tabela acima é meramente ilustrativa, a partir das informações previstas na IN SEGES/ME nº 67/2021. Entretanto, incumbe à área contratante ajustá-la incluindo ou excluindo informações na medida em que forem aplicáveis ou não à contratação em questão.</w:t>
      </w:r>
    </w:p>
    <w:p>
      <w:pPr>
        <w:pStyle w:val="PADRO"/>
        <w:keepNext w:val="false"/>
        <w:widowControl/>
        <w:numPr>
          <w:ilvl w:val="2"/>
          <w:numId w:val="1"/>
        </w:numPr>
        <w:shd w:val="clear" w:color="auto" w:fill="auto"/>
        <w:spacing w:before="120" w:after="120"/>
        <w:rPr>
          <w:rFonts w:ascii="Arial" w:hAnsi="Arial" w:cs="Arial"/>
        </w:rPr>
      </w:pPr>
      <w:r>
        <w:rPr>
          <w:rFonts w:cs="Arial" w:ascii="Arial" w:hAnsi="Arial"/>
          <w:szCs w:val="20"/>
        </w:rPr>
        <w:t>Havendo mais de item ou lote faculta-se ao fornecedor a participação em quantos forem de seu interesse. Entretanto, optando-se por participar de um lote, deve o fornecedor enviar proposta para todos os itens que o compõem.</w:t>
      </w:r>
    </w:p>
    <w:p>
      <w:pPr>
        <w:pStyle w:val="PADRO"/>
        <w:keepNext w:val="false"/>
        <w:widowControl/>
        <w:numPr>
          <w:ilvl w:val="1"/>
          <w:numId w:val="1"/>
        </w:numPr>
        <w:shd w:val="clear" w:color="auto" w:fill="auto"/>
        <w:spacing w:before="120" w:after="120"/>
        <w:rPr>
          <w:rFonts w:ascii="Arial" w:hAnsi="Arial" w:cs="Arial"/>
          <w:color w:val="000000" w:themeColor="text1"/>
          <w:szCs w:val="20"/>
        </w:rPr>
      </w:pPr>
      <w:r>
        <w:rPr>
          <w:rFonts w:cs="Arial" w:ascii="Arial" w:hAnsi="Arial"/>
          <w:szCs w:val="20"/>
        </w:rPr>
        <w:t>O critério de julgamento adotado será o</w:t>
      </w:r>
      <w:r>
        <w:rPr>
          <w:rFonts w:cs="Arial" w:ascii="Arial" w:hAnsi="Arial"/>
          <w:i/>
          <w:iCs/>
          <w:szCs w:val="20"/>
        </w:rPr>
        <w:t xml:space="preserve"> </w:t>
      </w:r>
      <w:r>
        <w:rPr>
          <w:rFonts w:cs="Arial" w:ascii="Arial" w:hAnsi="Arial"/>
          <w:i/>
          <w:iCs/>
          <w:color w:val="FF0000"/>
          <w:szCs w:val="20"/>
        </w:rPr>
        <w:t>menor preço/</w:t>
      </w:r>
      <w:r>
        <w:rPr>
          <w:rFonts w:cs="Arial" w:ascii="Arial" w:hAnsi="Arial"/>
          <w:i/>
          <w:iCs/>
          <w:color w:val="FF0000"/>
          <w:szCs w:val="20"/>
          <w:shd w:fill="FFFF00" w:val="clear"/>
        </w:rPr>
        <w:t>maior desconto</w:t>
      </w:r>
      <w:r>
        <w:rPr>
          <w:rFonts w:cs="Arial" w:ascii="Arial" w:hAnsi="Arial"/>
          <w:i/>
          <w:iCs/>
          <w:color w:val="FF0000"/>
          <w:szCs w:val="20"/>
          <w:shd w:fill="FFFF00" w:val="clear"/>
        </w:rPr>
        <w:t>,</w:t>
      </w:r>
      <w:r>
        <w:rPr>
          <w:rFonts w:cs="Arial" w:ascii="Arial" w:hAnsi="Arial"/>
          <w:color w:val="FF0000"/>
          <w:szCs w:val="20"/>
        </w:rPr>
        <w:t xml:space="preserve"> </w:t>
      </w:r>
      <w:r>
        <w:rPr>
          <w:rFonts w:cs="Arial" w:ascii="Arial" w:hAnsi="Arial"/>
          <w:szCs w:val="20"/>
        </w:rPr>
        <w:t>observadas as exigências contidas neste Aviso de Contratação Direta e seus Anexos quanto às especificações do objeto.</w:t>
      </w:r>
    </w:p>
    <w:p>
      <w:pPr>
        <w:pStyle w:val="PADRO"/>
        <w:keepNext w:val="false"/>
        <w:widowControl/>
        <w:numPr>
          <w:ilvl w:val="0"/>
          <w:numId w:val="1"/>
        </w:numPr>
        <w:shd w:val="clear" w:color="auto" w:fill="auto"/>
        <w:spacing w:before="120" w:after="120"/>
        <w:rPr>
          <w:rFonts w:ascii="Arial" w:hAnsi="Arial" w:cs="Arial"/>
          <w:b/>
          <w:b/>
        </w:rPr>
      </w:pPr>
      <w:r>
        <w:rPr>
          <w:rFonts w:cs="Arial" w:ascii="Arial" w:hAnsi="Arial"/>
          <w:b/>
        </w:rPr>
        <w:t>PARTICIPAÇÃO NA DISPENSA ELETRÔNICA.</w:t>
      </w:r>
    </w:p>
    <w:p>
      <w:pPr>
        <w:pStyle w:val="Normal"/>
        <w:numPr>
          <w:ilvl w:val="1"/>
          <w:numId w:val="1"/>
        </w:numPr>
        <w:snapToGrid w:val="false"/>
        <w:spacing w:lineRule="auto" w:line="276" w:before="120" w:after="120"/>
        <w:ind w:left="425" w:hanging="0"/>
        <w:jc w:val="both"/>
        <w:rPr>
          <w:rFonts w:cs="Arial"/>
          <w:szCs w:val="20"/>
        </w:rPr>
      </w:pPr>
      <w:r>
        <w:rPr>
          <w:rFonts w:cs="Arial"/>
          <w:szCs w:val="20"/>
        </w:rPr>
        <w:t xml:space="preserve">A participação na presente dispensa eletrônica se dará mediante </w:t>
      </w:r>
      <w:r>
        <w:rPr>
          <w:rFonts w:cs="Arial"/>
          <w:bCs/>
          <w:szCs w:val="20"/>
        </w:rPr>
        <w:t>Sistema de Dispensa Eletrônica</w:t>
      </w:r>
      <w:r>
        <w:rPr>
          <w:rFonts w:cs="Arial"/>
          <w:szCs w:val="20"/>
        </w:rPr>
        <w:t xml:space="preserve"> integrante do Sistema de Compras do Governo Federal – Comprasnet 4.0, disponível no </w:t>
      </w:r>
      <w:r>
        <w:rPr>
          <w:rFonts w:cs="Arial"/>
          <w:bCs/>
          <w:szCs w:val="20"/>
        </w:rPr>
        <w:t xml:space="preserve">endereço eletrônico </w:t>
      </w:r>
      <w:r>
        <w:rPr>
          <w:rFonts w:cs="Arial"/>
          <w:color w:val="FF0000"/>
          <w:szCs w:val="20"/>
        </w:rPr>
        <w:t>...</w:t>
      </w:r>
      <w:r>
        <w:rPr>
          <w:rFonts w:cs="Arial"/>
          <w:szCs w:val="20"/>
        </w:rPr>
        <w:t>.</w:t>
      </w:r>
    </w:p>
    <w:p>
      <w:pPr>
        <w:pStyle w:val="Normal"/>
        <w:numPr>
          <w:ilvl w:val="2"/>
          <w:numId w:val="1"/>
        </w:numPr>
        <w:snapToGrid w:val="false"/>
        <w:spacing w:lineRule="auto" w:line="276" w:before="120" w:after="120"/>
        <w:jc w:val="both"/>
        <w:rPr>
          <w:rFonts w:cs="Arial"/>
          <w:szCs w:val="20"/>
        </w:rPr>
      </w:pPr>
      <w:r>
        <w:rPr>
          <w:rFonts w:cs="Arial"/>
          <w:szCs w:val="20"/>
        </w:rPr>
        <w:t>Os fornecedores deverão atender aos procedimentos previstos no Manual do Sistema de Dispensa Eletrônica, disponível no Portal de Compras do Governo Federal, para acesso ao sistema e operacionalização.</w:t>
      </w:r>
    </w:p>
    <w:p>
      <w:pPr>
        <w:pStyle w:val="Normal"/>
        <w:numPr>
          <w:ilvl w:val="2"/>
          <w:numId w:val="1"/>
        </w:numPr>
        <w:snapToGrid w:val="false"/>
        <w:spacing w:lineRule="auto" w:line="276" w:before="120" w:after="120"/>
        <w:jc w:val="both"/>
        <w:rPr>
          <w:rFonts w:cs="Arial"/>
          <w:szCs w:val="20"/>
        </w:rPr>
      </w:pPr>
      <w:r>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1"/>
        </w:numPr>
        <w:spacing w:lineRule="auto" w:line="276" w:before="120" w:after="120"/>
        <w:ind w:left="425" w:hanging="0"/>
        <w:jc w:val="both"/>
        <w:rPr>
          <w:rFonts w:cs="Arial"/>
          <w:color w:val="000000" w:themeColor="text1"/>
          <w:szCs w:val="20"/>
        </w:rPr>
      </w:pPr>
      <w:r>
        <w:rPr>
          <w:rFonts w:cs="Arial"/>
          <w:color w:val="000000" w:themeColor="text1"/>
          <w:szCs w:val="20"/>
        </w:rPr>
        <w:t>Não poderão participar desta dispensa os fornecedores: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que não atendam às condições deste Aviso de Contratação Direta e seu(s) anexo(s);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estrangeiros que não tenham representação legal no Brasil com poderes expressos para receber citação e responder administrativa ou judicialmente;</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que se enquadrem nas seguintes vedações:</w:t>
      </w:r>
    </w:p>
    <w:p>
      <w:pPr>
        <w:pStyle w:val="Normal"/>
        <w:numPr>
          <w:ilvl w:val="3"/>
          <w:numId w:val="5"/>
        </w:numPr>
        <w:spacing w:lineRule="auto" w:line="276" w:before="120" w:after="120"/>
        <w:jc w:val="both"/>
        <w:rPr>
          <w:rFonts w:cs="Arial"/>
          <w:color w:val="000000" w:themeColor="text1"/>
          <w:szCs w:val="20"/>
        </w:rPr>
      </w:pPr>
      <w:r>
        <w:rPr>
          <w:rFonts w:cs="Arial"/>
          <w:color w:val="000000"/>
          <w:szCs w:val="20"/>
        </w:rPr>
        <w:t>autor do anteprojeto, do projeto básico ou do projeto executivo, pessoa física ou jurídica, quando a contratação versar sobre obra, serviços ou fornecimento de bens a ele relacionados;</w:t>
      </w:r>
    </w:p>
    <w:p>
      <w:pPr>
        <w:pStyle w:val="Normal"/>
        <w:numPr>
          <w:ilvl w:val="3"/>
          <w:numId w:val="5"/>
        </w:numPr>
        <w:spacing w:lineRule="auto" w:line="276" w:before="120" w:after="120"/>
        <w:jc w:val="both"/>
        <w:rPr>
          <w:rFonts w:cs="Arial"/>
          <w:color w:val="000000" w:themeColor="text1"/>
          <w:szCs w:val="20"/>
        </w:rPr>
      </w:pPr>
      <w:r>
        <w:rPr>
          <w:rFonts w:cs="Arial"/>
          <w:color w:val="00000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5"/>
        </w:numPr>
        <w:spacing w:lineRule="auto" w:line="276" w:before="120" w:after="120"/>
        <w:jc w:val="both"/>
        <w:rPr>
          <w:rFonts w:cs="Arial"/>
          <w:color w:val="000000" w:themeColor="text1"/>
          <w:szCs w:val="20"/>
        </w:rPr>
      </w:pPr>
      <w:r>
        <w:rPr>
          <w:rFonts w:cs="Arial"/>
          <w:color w:val="000000"/>
          <w:szCs w:val="20"/>
        </w:rPr>
        <w:t>pessoa física ou jurídica que se encontre, ao tempo da contratação, impossibilitada de contratar em decorrência de sanção que lhe foi imposta;</w:t>
      </w:r>
    </w:p>
    <w:p>
      <w:pPr>
        <w:pStyle w:val="Normal"/>
        <w:numPr>
          <w:ilvl w:val="3"/>
          <w:numId w:val="5"/>
        </w:numPr>
        <w:spacing w:lineRule="auto" w:line="276" w:before="120" w:after="120"/>
        <w:jc w:val="both"/>
        <w:rPr>
          <w:rFonts w:cs="Arial"/>
          <w:color w:val="000000" w:themeColor="text1"/>
          <w:szCs w:val="20"/>
        </w:rPr>
      </w:pPr>
      <w:r>
        <w:rPr>
          <w:rFonts w:cs="Arial"/>
          <w:color w:val="00000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5"/>
        </w:numPr>
        <w:spacing w:lineRule="auto" w:line="276" w:before="120" w:after="120"/>
        <w:jc w:val="both"/>
        <w:rPr>
          <w:rFonts w:cs="Arial"/>
          <w:color w:val="000000" w:themeColor="text1"/>
          <w:szCs w:val="20"/>
        </w:rPr>
      </w:pPr>
      <w:r>
        <w:rPr>
          <w:rFonts w:cs="Arial"/>
          <w:color w:val="000000"/>
          <w:szCs w:val="20"/>
        </w:rPr>
        <w:t>empresas controladoras, controladas ou coligadas, nos termos da </w:t>
      </w:r>
      <w:hyperlink r:id="rId3">
        <w:r>
          <w:rPr>
            <w:rStyle w:val="LinkdaInternet"/>
            <w:rFonts w:eastAsia="Calibri" w:cs="Arial"/>
            <w:szCs w:val="20"/>
          </w:rPr>
          <w:t>Lei nº 6.404, de 15 de dezembro de 1976</w:t>
        </w:r>
      </w:hyperlink>
      <w:r>
        <w:rPr>
          <w:rFonts w:cs="Arial"/>
          <w:color w:val="000000"/>
          <w:szCs w:val="20"/>
        </w:rPr>
        <w:t>, concorrendo entre si;</w:t>
      </w:r>
    </w:p>
    <w:p>
      <w:pPr>
        <w:pStyle w:val="Normal"/>
        <w:numPr>
          <w:ilvl w:val="3"/>
          <w:numId w:val="5"/>
        </w:numPr>
        <w:spacing w:lineRule="auto" w:line="276" w:before="120" w:after="120"/>
        <w:jc w:val="both"/>
        <w:rPr>
          <w:rFonts w:cs="Arial"/>
          <w:color w:val="000000" w:themeColor="text1"/>
          <w:szCs w:val="20"/>
        </w:rPr>
      </w:pPr>
      <w:r>
        <w:rPr>
          <w:rFonts w:cs="Arial"/>
          <w:color w:val="000000"/>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1"/>
        </w:numPr>
        <w:spacing w:lineRule="auto" w:line="276" w:before="120" w:after="120"/>
        <w:jc w:val="both"/>
        <w:rPr>
          <w:rFonts w:cs="Arial"/>
          <w:color w:val="000000" w:themeColor="text1"/>
          <w:szCs w:val="20"/>
        </w:rPr>
      </w:pPr>
      <w:r>
        <w:rPr>
          <w:rFonts w:cs="Arial"/>
          <w:color w:val="000000"/>
          <w:szCs w:val="20"/>
        </w:rPr>
        <w:t>Equiparam-se aos autores do projeto as empresas integrantes do mesmo grupo econômico;</w:t>
      </w:r>
    </w:p>
    <w:p>
      <w:pPr>
        <w:pStyle w:val="Normal"/>
        <w:numPr>
          <w:ilvl w:val="3"/>
          <w:numId w:val="1"/>
        </w:numPr>
        <w:spacing w:lineRule="auto" w:line="276" w:before="120" w:after="120"/>
        <w:jc w:val="both"/>
        <w:rPr>
          <w:rFonts w:cs="Arial"/>
          <w:color w:val="000000" w:themeColor="text1"/>
          <w:szCs w:val="20"/>
        </w:rPr>
      </w:pPr>
      <w:r>
        <w:rPr>
          <w:rFonts w:cs="Arial"/>
          <w:color w:val="000000"/>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1"/>
        </w:numPr>
        <w:spacing w:lineRule="auto" w:line="276" w:before="120" w:after="120"/>
        <w:jc w:val="both"/>
        <w:rPr>
          <w:rFonts w:cs="Arial"/>
          <w:color w:val="000000" w:themeColor="text1"/>
          <w:szCs w:val="20"/>
        </w:rPr>
      </w:pPr>
      <w:r>
        <w:rPr>
          <w:rFonts w:cs="Arial"/>
          <w:color w:val="000000"/>
          <w:szCs w:val="20"/>
        </w:rPr>
        <w:t>organizações da Sociedade Civil de Interesse Público - OSCIP, atuando nessa condição (Acórdão nº 746/2014-TCU-Plenário); e</w:t>
      </w:r>
    </w:p>
    <w:p>
      <w:pPr>
        <w:pStyle w:val="Normal"/>
        <w:numPr>
          <w:ilvl w:val="2"/>
          <w:numId w:val="1"/>
        </w:numPr>
        <w:spacing w:lineRule="auto" w:line="276" w:before="120" w:after="120"/>
        <w:jc w:val="both"/>
        <w:rPr>
          <w:rFonts w:cs="Arial"/>
          <w:i/>
          <w:i/>
          <w:color w:val="FF0000"/>
          <w:szCs w:val="20"/>
        </w:rPr>
      </w:pPr>
      <w:r>
        <w:rPr>
          <w:rFonts w:cs="Arial"/>
          <w:i/>
          <w:color w:val="FF0000"/>
          <w:szCs w:val="20"/>
        </w:rPr>
        <w:t>sociedades cooperativas.</w:t>
      </w:r>
    </w:p>
    <w:p>
      <w:pPr>
        <w:pStyle w:val="Quote"/>
        <w:tabs>
          <w:tab w:val="clear" w:pos="708"/>
          <w:tab w:val="left" w:pos="1440" w:leader="none"/>
        </w:tabs>
        <w:snapToGrid w:val="false"/>
        <w:spacing w:lineRule="auto" w:line="276" w:before="120" w:after="120"/>
        <w:rPr>
          <w:rFonts w:cs="Arial"/>
          <w:szCs w:val="20"/>
        </w:rPr>
      </w:pPr>
      <w:r>
        <w:rPr>
          <w:rFonts w:cs="Arial"/>
          <w:b/>
          <w:bCs/>
          <w:szCs w:val="20"/>
        </w:rPr>
        <w:t>Nota explicativa</w:t>
      </w:r>
      <w:r>
        <w:rPr>
          <w:rFonts w:cs="Arial"/>
          <w:szCs w:val="20"/>
        </w:rPr>
        <w:t>: Utilizar o subitem 2.2.5, se não for possível a contratação de cooperativas. Caso contrário, utilizar o subitem 2.3 e 2.3.1.</w:t>
      </w:r>
    </w:p>
    <w:p>
      <w:pPr>
        <w:pStyle w:val="Quote"/>
        <w:tabs>
          <w:tab w:val="clear" w:pos="708"/>
          <w:tab w:val="left" w:pos="1440" w:leader="none"/>
        </w:tabs>
        <w:snapToGrid w:val="false"/>
        <w:spacing w:lineRule="auto" w:line="276" w:before="120" w:after="120"/>
        <w:rPr>
          <w:rFonts w:cs="Arial"/>
          <w:szCs w:val="20"/>
        </w:rPr>
      </w:pPr>
      <w:r>
        <w:rPr>
          <w:rFonts w:cs="Arial"/>
          <w:szCs w:val="20"/>
        </w:rPr>
        <w:t>Na égide da Lei 8.666, o TCU tinha um entendimento trazido na sua Súmula 281: É vedada a participação de cooperativas em licitação quando, pela natureza do serviço ou pelo modo como é usualmente executado no mercado em geral, houver necessidade de subordinação jurídica entre o obreiro e o contratado, bem como de pessoalidade e habitualidade.</w:t>
      </w:r>
    </w:p>
    <w:p>
      <w:pPr>
        <w:pStyle w:val="Quote"/>
        <w:tabs>
          <w:tab w:val="clear" w:pos="708"/>
          <w:tab w:val="left" w:pos="1440" w:leader="none"/>
        </w:tabs>
        <w:snapToGrid w:val="false"/>
        <w:spacing w:lineRule="auto" w:line="276" w:before="120" w:after="120"/>
        <w:rPr>
          <w:rFonts w:cs="Arial"/>
          <w:szCs w:val="20"/>
        </w:rPr>
      </w:pPr>
      <w:r>
        <w:rPr>
          <w:rFonts w:cs="Arial"/>
          <w:szCs w:val="20"/>
        </w:rPr>
        <w:t>Ainda é imprevisível como o tema será abordado na nova lei, já que há tratamento expresso nos seus termos (art. 16), inclusive associando-se cooperativas à restrição à competição (art. 9º, I, “a”).</w:t>
      </w:r>
    </w:p>
    <w:p>
      <w:pPr>
        <w:pStyle w:val="Quote"/>
        <w:tabs>
          <w:tab w:val="clear" w:pos="708"/>
          <w:tab w:val="left" w:pos="1440" w:leader="none"/>
        </w:tabs>
        <w:snapToGrid w:val="false"/>
        <w:spacing w:lineRule="auto" w:line="276" w:before="120" w:after="120"/>
        <w:rPr>
          <w:rFonts w:cs="Arial"/>
          <w:szCs w:val="20"/>
        </w:rPr>
      </w:pPr>
      <w:r>
        <w:rPr>
          <w:rFonts w:cs="Arial"/>
          <w:szCs w:val="20"/>
        </w:rPr>
        <w:t>Recomenda-se que se verifique se o objeto da contratação possui características que possibilitem que seu cumprimento pela cooperativa siga os requisitos do art. 16 da lei (atuação em regime cooperado; impessoalidade na execução do contrato; execução de forma complementar à atuação da cooperativa). Caso negativo, de forma motivada deve haver a negativa de participação. No caso de dúvidas orienta-se, por ora, pela admissão, considerando o art. 9º, I, “a” já citado, enquanto a prática se firma a esse respeito.</w:t>
      </w:r>
    </w:p>
    <w:p>
      <w:pPr>
        <w:pStyle w:val="Quote"/>
        <w:tabs>
          <w:tab w:val="clear" w:pos="708"/>
          <w:tab w:val="left" w:pos="1440" w:leader="none"/>
        </w:tabs>
        <w:snapToGrid w:val="false"/>
        <w:spacing w:lineRule="auto" w:line="276" w:before="120" w:after="120"/>
        <w:rPr>
          <w:rFonts w:cs="Arial"/>
          <w:szCs w:val="20"/>
        </w:rPr>
      </w:pPr>
      <w:r>
        <w:rPr>
          <w:rFonts w:cs="Arial"/>
          <w:szCs w:val="20"/>
        </w:rPr>
        <w:t>Lembramos que, caso se proíba a participação de cooperativas, as demais disposições do Aviso de contratação direta devem ser adaptadas a esta nova condição.</w:t>
      </w:r>
    </w:p>
    <w:p>
      <w:pPr>
        <w:pStyle w:val="PADRO"/>
        <w:keepNext w:val="false"/>
        <w:widowControl/>
        <w:numPr>
          <w:ilvl w:val="0"/>
          <w:numId w:val="1"/>
        </w:numPr>
        <w:shd w:val="clear" w:color="auto" w:fill="auto"/>
        <w:spacing w:before="120" w:after="120"/>
        <w:rPr>
          <w:rFonts w:ascii="Arial" w:hAnsi="Arial" w:cs="Arial"/>
          <w:b/>
          <w:b/>
        </w:rPr>
      </w:pPr>
      <w:r>
        <w:rPr>
          <w:rFonts w:cs="Arial" w:ascii="Arial" w:hAnsi="Arial"/>
          <w:b/>
        </w:rPr>
        <w:t>INGRESSO NA DISPENSA ELETRÔNICA E CADASTRAMENTO DA PROPOSTA INICIAL</w:t>
      </w:r>
    </w:p>
    <w:p>
      <w:pPr>
        <w:pStyle w:val="Normal"/>
        <w:numPr>
          <w:ilvl w:val="1"/>
          <w:numId w:val="1"/>
        </w:numPr>
        <w:snapToGrid w:val="false"/>
        <w:spacing w:lineRule="auto" w:line="276" w:before="120" w:after="120"/>
        <w:ind w:left="425" w:hanging="0"/>
        <w:jc w:val="both"/>
        <w:rPr>
          <w:rFonts w:cs="Arial"/>
        </w:rPr>
      </w:pPr>
      <w:r>
        <w:rPr>
          <w:rFonts w:cs="Arial"/>
          <w:color w:val="000000" w:themeColor="text1"/>
          <w:szCs w:val="20"/>
        </w:rPr>
        <w:t>O ingresso do fornecedor na disputa da dispensa eletrônica se dará com o cadastramento de sua proposta inicial, na forma deste item.</w:t>
      </w:r>
    </w:p>
    <w:p>
      <w:pPr>
        <w:pStyle w:val="Normal"/>
        <w:numPr>
          <w:ilvl w:val="1"/>
          <w:numId w:val="1"/>
        </w:numPr>
        <w:snapToGrid w:val="false"/>
        <w:spacing w:lineRule="auto" w:line="276" w:before="120" w:after="120"/>
        <w:ind w:left="425" w:hanging="0"/>
        <w:jc w:val="both"/>
        <w:rPr>
          <w:rFonts w:cs="Arial"/>
          <w:color w:val="000000" w:themeColor="text1"/>
          <w:szCs w:val="20"/>
        </w:rPr>
      </w:pPr>
      <w:r>
        <w:rPr>
          <w:rFonts w:cs="Arial"/>
          <w:color w:val="000000" w:themeColor="text1"/>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1"/>
        </w:numPr>
        <w:spacing w:lineRule="auto" w:line="276" w:before="120" w:after="120"/>
        <w:jc w:val="both"/>
        <w:rPr>
          <w:rFonts w:cs="Arial"/>
          <w:szCs w:val="20"/>
        </w:rPr>
      </w:pPr>
      <w:r>
        <w:rPr>
          <w:rFonts w:cs="Arial"/>
          <w:szCs w:val="20"/>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1"/>
        </w:numPr>
        <w:spacing w:lineRule="auto" w:line="276" w:before="120" w:after="120"/>
        <w:ind w:left="425" w:hanging="0"/>
        <w:jc w:val="both"/>
        <w:rPr>
          <w:rFonts w:cs="Arial"/>
          <w:szCs w:val="20"/>
        </w:rPr>
      </w:pPr>
      <w:r>
        <w:rPr>
          <w:rFonts w:cs="Arial"/>
          <w:szCs w:val="20"/>
        </w:rPr>
        <w:t xml:space="preserve">Todas as especificações do </w:t>
      </w:r>
      <w:r>
        <w:rPr>
          <w:rFonts w:cs="Arial"/>
          <w:color w:val="000000" w:themeColor="text1"/>
          <w:szCs w:val="20"/>
        </w:rPr>
        <w:t>objeto</w:t>
      </w:r>
      <w:r>
        <w:rPr>
          <w:rFonts w:cs="Arial"/>
          <w:szCs w:val="20"/>
        </w:rPr>
        <w:t xml:space="preserve"> contidas na proposta, em especial o preço, vinculam a Contratada.</w:t>
      </w:r>
    </w:p>
    <w:p>
      <w:pPr>
        <w:pStyle w:val="Normal"/>
        <w:numPr>
          <w:ilvl w:val="1"/>
          <w:numId w:val="1"/>
        </w:numPr>
        <w:spacing w:lineRule="auto" w:line="276" w:before="120" w:after="120"/>
        <w:ind w:left="425" w:hanging="0"/>
        <w:jc w:val="both"/>
        <w:rPr>
          <w:rFonts w:cs="Arial"/>
          <w:szCs w:val="20"/>
        </w:rPr>
      </w:pPr>
      <w:r>
        <w:rPr>
          <w:rFonts w:cs="Arial"/>
          <w:szCs w:val="20"/>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1"/>
        </w:numPr>
        <w:spacing w:lineRule="auto" w:line="276" w:before="120" w:after="120"/>
        <w:jc w:val="both"/>
        <w:rPr>
          <w:rFonts w:cs="Arial"/>
          <w:szCs w:val="20"/>
        </w:rPr>
      </w:pPr>
      <w:r>
        <w:rPr>
          <w:rFonts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1"/>
        </w:numPr>
        <w:spacing w:lineRule="auto" w:line="276" w:before="120" w:after="120"/>
        <w:ind w:left="425" w:hanging="0"/>
        <w:jc w:val="both"/>
        <w:rPr>
          <w:rFonts w:cs="Arial"/>
          <w:szCs w:val="20"/>
        </w:rPr>
      </w:pPr>
      <w:r>
        <w:rPr>
          <w:rFonts w:cs="Arial"/>
          <w:szCs w:val="20"/>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1"/>
        </w:numPr>
        <w:spacing w:lineRule="auto" w:line="276" w:before="120" w:after="120"/>
        <w:ind w:left="425" w:hanging="0"/>
        <w:jc w:val="both"/>
        <w:rPr>
          <w:rFonts w:cs="Arial"/>
          <w:szCs w:val="20"/>
        </w:rPr>
      </w:pPr>
      <w:r>
        <w:rPr>
          <w:rFonts w:cs="Arial"/>
          <w:szCs w:val="20"/>
        </w:rPr>
        <w:t>Independentemente do percentual de tributo inserido na planilha, no pagamento serão retidos na fonte os percentuais estabelecidos na legislação vigente.</w:t>
      </w:r>
    </w:p>
    <w:p>
      <w:pPr>
        <w:pStyle w:val="Normal"/>
        <w:numPr>
          <w:ilvl w:val="1"/>
          <w:numId w:val="1"/>
        </w:numPr>
        <w:spacing w:lineRule="auto" w:line="276" w:before="120" w:after="120"/>
        <w:ind w:left="425" w:hanging="0"/>
        <w:jc w:val="both"/>
        <w:rPr>
          <w:rFonts w:cs="Arial"/>
          <w:szCs w:val="20"/>
        </w:rPr>
      </w:pPr>
      <w:r>
        <w:rPr>
          <w:rFonts w:cs="Arial"/>
          <w:szCs w:val="20"/>
        </w:rPr>
        <w:t xml:space="preserve">A apresentação das propostas implica obrigatoriedade do cumprimento das disposições nelas contidas, em conformidade com o que dispõe o </w:t>
      </w:r>
      <w:r>
        <w:rPr>
          <w:rFonts w:cs="Arial"/>
          <w:i/>
          <w:color w:val="FF0000"/>
          <w:szCs w:val="20"/>
          <w:shd w:fill="FFFF00" w:val="clear"/>
        </w:rPr>
        <w:t>Termo de Referência</w:t>
      </w:r>
      <w:r>
        <w:rPr>
          <w:rFonts w:cs="Arial"/>
          <w:szCs w:val="20"/>
          <w:shd w:fill="FFFF00" w:val="clear"/>
        </w:rPr>
        <w:t>,</w:t>
      </w:r>
      <w:r>
        <w:rPr>
          <w:rFonts w:cs="Arial"/>
          <w:szCs w:val="20"/>
        </w:rPr>
        <w:t xml:space="preserve">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1"/>
        </w:numPr>
        <w:spacing w:lineRule="auto" w:line="276" w:before="120" w:after="120"/>
        <w:ind w:left="425" w:hanging="0"/>
        <w:jc w:val="both"/>
        <w:rPr>
          <w:rFonts w:cs="Arial"/>
          <w:color w:val="000000" w:themeColor="text1"/>
          <w:szCs w:val="20"/>
        </w:rPr>
      </w:pPr>
      <w:r>
        <w:rPr>
          <w:rFonts w:cs="Arial"/>
          <w:szCs w:val="20"/>
        </w:rPr>
        <w:t xml:space="preserve">Uma vez enviada a proposta no sistema, os fornecedores </w:t>
      </w:r>
      <w:r>
        <w:rPr>
          <w:rFonts w:cs="Arial"/>
          <w:b/>
          <w:bCs/>
          <w:szCs w:val="20"/>
        </w:rPr>
        <w:t>NÃO</w:t>
      </w:r>
      <w:r>
        <w:rPr>
          <w:rFonts w:cs="Arial"/>
          <w:szCs w:val="20"/>
        </w:rPr>
        <w:t xml:space="preserve"> poderão retirá-la, substituí-la ou modificá-la</w:t>
      </w:r>
      <w:r>
        <w:rPr>
          <w:rFonts w:cs="Arial"/>
          <w:color w:val="000000"/>
          <w:szCs w:val="20"/>
        </w:rPr>
        <w:t>;</w:t>
      </w:r>
    </w:p>
    <w:p>
      <w:pPr>
        <w:pStyle w:val="Quote"/>
        <w:tabs>
          <w:tab w:val="clear" w:pos="708"/>
          <w:tab w:val="left" w:pos="1440" w:leader="none"/>
        </w:tabs>
        <w:snapToGrid w:val="false"/>
        <w:spacing w:lineRule="auto" w:line="276" w:before="120" w:after="120"/>
        <w:rPr>
          <w:rFonts w:cs="Arial"/>
          <w:color w:val="000000" w:themeColor="text1"/>
          <w:szCs w:val="20"/>
        </w:rPr>
      </w:pPr>
      <w:r>
        <w:rPr>
          <w:rFonts w:cs="Arial"/>
          <w:b/>
          <w:color w:val="000000" w:themeColor="text1"/>
          <w:szCs w:val="20"/>
        </w:rPr>
        <w:t xml:space="preserve">Nota Explicativa: </w:t>
      </w:r>
      <w:r>
        <w:rPr>
          <w:rFonts w:cs="Arial"/>
          <w:color w:val="000000" w:themeColor="text1"/>
          <w:szCs w:val="20"/>
        </w:rPr>
        <w:t>A previsão acima decorre do funcionamento do sistema. Se o sistema for modificado para alterar essa possibilidade, a disposição supracitada deve ser ajustada.</w:t>
      </w:r>
    </w:p>
    <w:p>
      <w:pPr>
        <w:pStyle w:val="Normal"/>
        <w:numPr>
          <w:ilvl w:val="1"/>
          <w:numId w:val="1"/>
        </w:numPr>
        <w:spacing w:lineRule="auto" w:line="276" w:before="120" w:after="120"/>
        <w:ind w:left="425" w:hanging="0"/>
        <w:jc w:val="both"/>
        <w:rPr>
          <w:rFonts w:cs="Arial"/>
          <w:color w:val="000000" w:themeColor="text1"/>
          <w:szCs w:val="20"/>
        </w:rPr>
      </w:pPr>
      <w:r>
        <w:rPr>
          <w:rFonts w:cs="Arial"/>
          <w:color w:val="000000"/>
          <w:szCs w:val="20"/>
        </w:rPr>
        <w:t xml:space="preserve">No cadastramento da proposta inicial, o fornecedor deverá, também, assinalar “sim” ou “não” em campo </w:t>
      </w:r>
      <w:r>
        <w:rPr>
          <w:rFonts w:cs="Arial"/>
          <w:szCs w:val="20"/>
        </w:rPr>
        <w:t>próprio</w:t>
      </w:r>
      <w:r>
        <w:rPr>
          <w:rFonts w:cs="Arial"/>
          <w:color w:val="000000"/>
          <w:szCs w:val="20"/>
        </w:rPr>
        <w:t xml:space="preserve"> do sistema eletrônico, às seguintes declarações:</w:t>
      </w:r>
      <w:r>
        <w:rPr>
          <w:rFonts w:eastAsia="Zurich BT" w:cs="Arial"/>
          <w:color w:val="000000"/>
          <w:szCs w:val="20"/>
        </w:rPr>
        <w:t xml:space="preserve"> </w:t>
      </w:r>
    </w:p>
    <w:p>
      <w:pPr>
        <w:pStyle w:val="ListParagraph"/>
        <w:numPr>
          <w:ilvl w:val="0"/>
          <w:numId w:val="2"/>
        </w:numPr>
        <w:tabs>
          <w:tab w:val="clear" w:pos="708"/>
          <w:tab w:val="left" w:pos="1440" w:leader="none"/>
        </w:tabs>
        <w:snapToGrid w:val="false"/>
        <w:spacing w:lineRule="auto" w:line="276" w:before="120" w:after="120"/>
        <w:contextualSpacing/>
        <w:jc w:val="both"/>
        <w:rPr>
          <w:rFonts w:cs="Arial"/>
          <w:bCs/>
          <w:vanish/>
          <w:color w:val="000000"/>
          <w:szCs w:val="20"/>
        </w:rPr>
      </w:pPr>
      <w:r>
        <w:rPr>
          <w:rFonts w:cs="Arial"/>
          <w:bCs/>
          <w:vanish/>
          <w:color w:val="000000"/>
          <w:szCs w:val="20"/>
        </w:rPr>
      </w:r>
    </w:p>
    <w:p>
      <w:pPr>
        <w:pStyle w:val="ListParagraph"/>
        <w:numPr>
          <w:ilvl w:val="1"/>
          <w:numId w:val="2"/>
        </w:numPr>
        <w:tabs>
          <w:tab w:val="clear" w:pos="708"/>
          <w:tab w:val="left" w:pos="1440" w:leader="none"/>
        </w:tabs>
        <w:snapToGrid w:val="false"/>
        <w:spacing w:lineRule="auto" w:line="276" w:before="120" w:after="120"/>
        <w:contextualSpacing/>
        <w:jc w:val="both"/>
        <w:rPr>
          <w:rFonts w:cs="Arial"/>
          <w:bCs/>
          <w:vanish/>
          <w:color w:val="000000"/>
          <w:szCs w:val="20"/>
        </w:rPr>
      </w:pPr>
      <w:r>
        <w:rPr>
          <w:rFonts w:cs="Arial"/>
          <w:bCs/>
          <w:vanish/>
          <w:color w:val="000000"/>
          <w:szCs w:val="20"/>
        </w:rPr>
      </w:r>
    </w:p>
    <w:p>
      <w:pPr>
        <w:pStyle w:val="ListParagraph"/>
        <w:numPr>
          <w:ilvl w:val="1"/>
          <w:numId w:val="2"/>
        </w:numPr>
        <w:tabs>
          <w:tab w:val="clear" w:pos="708"/>
          <w:tab w:val="left" w:pos="1440" w:leader="none"/>
        </w:tabs>
        <w:snapToGrid w:val="false"/>
        <w:spacing w:lineRule="auto" w:line="276" w:before="120" w:after="120"/>
        <w:contextualSpacing/>
        <w:jc w:val="both"/>
        <w:rPr>
          <w:rFonts w:cs="Arial"/>
          <w:bCs/>
          <w:vanish/>
          <w:color w:val="000000"/>
          <w:szCs w:val="20"/>
        </w:rPr>
      </w:pPr>
      <w:r>
        <w:rPr>
          <w:rFonts w:cs="Arial"/>
          <w:bCs/>
          <w:vanish/>
          <w:color w:val="000000"/>
          <w:szCs w:val="20"/>
        </w:rPr>
      </w:r>
    </w:p>
    <w:p>
      <w:pPr>
        <w:pStyle w:val="ListParagraph"/>
        <w:numPr>
          <w:ilvl w:val="1"/>
          <w:numId w:val="2"/>
        </w:numPr>
        <w:tabs>
          <w:tab w:val="clear" w:pos="708"/>
          <w:tab w:val="left" w:pos="1440" w:leader="none"/>
        </w:tabs>
        <w:snapToGrid w:val="false"/>
        <w:spacing w:lineRule="auto" w:line="276" w:before="120" w:after="120"/>
        <w:contextualSpacing/>
        <w:jc w:val="both"/>
        <w:rPr>
          <w:rFonts w:cs="Arial"/>
          <w:bCs/>
          <w:vanish/>
          <w:color w:val="000000"/>
          <w:szCs w:val="20"/>
        </w:rPr>
      </w:pPr>
      <w:r>
        <w:rPr>
          <w:rFonts w:cs="Arial"/>
          <w:bCs/>
          <w:vanish/>
          <w:color w:val="000000"/>
          <w:szCs w:val="20"/>
        </w:rPr>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que inexistem fatos impeditivos para sua habilitação no certame, ciente da obrigatoriedade de declarar ocorrências posteriores;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 xml:space="preserve">que </w:t>
      </w:r>
      <w:r>
        <w:rPr>
          <w:rFonts w:cs="Arial"/>
          <w:color w:val="000000"/>
          <w:szCs w:val="20"/>
        </w:rPr>
        <w:t>cumpre</w:t>
      </w:r>
      <w:r>
        <w:rPr>
          <w:rFonts w:cs="Arial"/>
          <w:color w:val="000000" w:themeColor="text1"/>
          <w:szCs w:val="20"/>
        </w:rPr>
        <w:t xml:space="preserve"> os requisitos estabelecidos no artigo 3° da Lei Complementar nº 123, de 2006, estando apto a usufruir do tratamento favorecido estabelecido em seus arts. 42 a 49.</w:t>
      </w:r>
    </w:p>
    <w:p>
      <w:pPr>
        <w:pStyle w:val="Quote"/>
        <w:tabs>
          <w:tab w:val="clear" w:pos="708"/>
          <w:tab w:val="left" w:pos="1440" w:leader="none"/>
        </w:tabs>
        <w:snapToGrid w:val="false"/>
        <w:spacing w:lineRule="auto" w:line="276" w:before="120" w:after="120"/>
        <w:rPr>
          <w:rFonts w:cs="Arial"/>
          <w:color w:val="000000" w:themeColor="text1"/>
          <w:szCs w:val="20"/>
        </w:rPr>
      </w:pPr>
      <w:r>
        <w:rPr>
          <w:rFonts w:cs="Arial"/>
          <w:b/>
          <w:color w:val="000000" w:themeColor="text1"/>
          <w:szCs w:val="20"/>
        </w:rPr>
        <w:t xml:space="preserve">Nota Explicativa: </w:t>
      </w:r>
      <w:r>
        <w:rPr>
          <w:rFonts w:cs="Arial"/>
          <w:color w:val="000000" w:themeColor="text1"/>
          <w:szCs w:val="20"/>
        </w:rPr>
        <w:t>a assinalação do campo “não” apenas produzirá o efeito de o fornecedor não ter direito ao tratamento favorecido previsto na Lei Complementar nº 123, de 2006, mesmo que microempresa, empresa de pequeno porte ou sociedade cooperativa.</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que está ciente e concorda com as condições contidas no Aviso de Contratação Direta e seus anexos;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que assume a responsabilidade pelas transações que forem efetuadas no sistema, assumindo como firmes e verdadeiras;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que cumpre as exigências de reserva de cargos para pessoa com deficiência e para reabilitado da Previdência Social, de que trata o art. 93 da Lei nº 8.213/91.</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que não emprega menor de 18 anos em trabalho noturno, perigoso ou insalubre e não emprega menor de 16 anos, salvo menor, a partir de 14 anos, na condição de aprendiz, nos termos do artigo 7°, XXXIII, da Constituição;</w:t>
      </w:r>
    </w:p>
    <w:p>
      <w:pPr>
        <w:pStyle w:val="Normal"/>
        <w:numPr>
          <w:ilvl w:val="1"/>
          <w:numId w:val="1"/>
        </w:numPr>
        <w:spacing w:lineRule="auto" w:line="276" w:before="120" w:after="120"/>
        <w:jc w:val="both"/>
        <w:rPr>
          <w:rFonts w:cs="Arial"/>
          <w:i/>
          <w:i/>
          <w:color w:val="FF0000"/>
          <w:szCs w:val="20"/>
        </w:rPr>
      </w:pPr>
      <w:r>
        <w:rPr>
          <w:rFonts w:cs="Arial"/>
          <w:i/>
          <w:color w:val="FF0000"/>
          <w:szCs w:val="20"/>
        </w:rPr>
        <w:t>Fica facultado ao fornecedor, ao cadastrar sua proposta inicial, a parametrização de valor final mínimo, com o registro do seu lance final aceitável (menor preço ou maior desconto, conforme o caso).</w:t>
      </w:r>
    </w:p>
    <w:p>
      <w:pPr>
        <w:pStyle w:val="Normal"/>
        <w:numPr>
          <w:ilvl w:val="2"/>
          <w:numId w:val="1"/>
        </w:numPr>
        <w:spacing w:lineRule="auto" w:line="276" w:before="120" w:after="120"/>
        <w:jc w:val="both"/>
        <w:rPr>
          <w:rFonts w:cs="Arial"/>
          <w:i/>
          <w:i/>
          <w:color w:val="FF0000"/>
          <w:szCs w:val="20"/>
        </w:rPr>
      </w:pPr>
      <w:r>
        <w:rPr>
          <w:rFonts w:cs="Arial"/>
          <w:i/>
          <w:color w:val="FF0000"/>
          <w:szCs w:val="20"/>
        </w:rPr>
        <w:t xml:space="preserve">Feita essa opção os lances serão enviados automaticamente pelo sistema, respeitados os limites cadastrados pelo fornecedor e o intervalo mínimo entre lances previsto neste aviso. </w:t>
      </w:r>
    </w:p>
    <w:p>
      <w:pPr>
        <w:pStyle w:val="Normal"/>
        <w:numPr>
          <w:ilvl w:val="3"/>
          <w:numId w:val="1"/>
        </w:numPr>
        <w:spacing w:lineRule="auto" w:line="276" w:before="120" w:after="120"/>
        <w:jc w:val="both"/>
        <w:rPr>
          <w:rFonts w:cs="Arial"/>
          <w:i/>
          <w:i/>
          <w:color w:val="FF0000"/>
          <w:szCs w:val="20"/>
        </w:rPr>
      </w:pPr>
      <w:r>
        <w:rPr>
          <w:rFonts w:cs="Arial"/>
          <w:i/>
          <w:color w:val="FF0000"/>
          <w:szCs w:val="20"/>
        </w:rPr>
        <w:t>Sem prejuízo do disposto acima, os lances poderão ser enviados manualmente, na forma da seção respectiva deste Aviso de Contratação Direta;</w:t>
      </w:r>
    </w:p>
    <w:p>
      <w:pPr>
        <w:pStyle w:val="Normal"/>
        <w:numPr>
          <w:ilvl w:val="2"/>
          <w:numId w:val="1"/>
        </w:numPr>
        <w:spacing w:lineRule="auto" w:line="276" w:before="120" w:after="120"/>
        <w:jc w:val="both"/>
        <w:rPr>
          <w:rFonts w:cs="Arial"/>
          <w:i/>
          <w:i/>
          <w:color w:val="FF0000"/>
          <w:szCs w:val="20"/>
        </w:rPr>
      </w:pPr>
      <w:r>
        <w:rPr>
          <w:rFonts w:cs="Arial"/>
          <w:i/>
          <w:color w:val="FF0000"/>
          <w:szCs w:val="20"/>
        </w:rPr>
        <w:t>O valor final mínimo poderá ser alterado pelo fornecedor durante a fase de disputa, desde que não assuma valor superior a lance já registrado por ele no sistema.</w:t>
      </w:r>
    </w:p>
    <w:p>
      <w:pPr>
        <w:pStyle w:val="Normal"/>
        <w:numPr>
          <w:ilvl w:val="2"/>
          <w:numId w:val="1"/>
        </w:numPr>
        <w:spacing w:lineRule="auto" w:line="276" w:before="120" w:after="120"/>
        <w:jc w:val="both"/>
        <w:rPr>
          <w:rFonts w:cs="Arial"/>
          <w:i/>
          <w:i/>
          <w:color w:val="FF0000"/>
          <w:szCs w:val="20"/>
        </w:rPr>
      </w:pPr>
      <w:r>
        <w:rPr>
          <w:rFonts w:cs="Arial"/>
          <w:i/>
          <w:color w:val="FF0000"/>
          <w:szCs w:val="20"/>
        </w:rPr>
        <w:t>O valor mínimo parametrizado possui caráter sigiloso aos demais participantes do certame e para o órgão ou entidade contratante. Apenas os lances efetivamente enviados poderão ser conhecidos dos fornecedores na forma da seção seguinte deste Aviso.</w:t>
      </w:r>
    </w:p>
    <w:p>
      <w:pPr>
        <w:pStyle w:val="Quote"/>
        <w:tabs>
          <w:tab w:val="clear" w:pos="708"/>
          <w:tab w:val="left" w:pos="1440" w:leader="none"/>
        </w:tabs>
        <w:snapToGrid w:val="false"/>
        <w:spacing w:lineRule="auto" w:line="276" w:before="120" w:after="120"/>
        <w:rPr>
          <w:rFonts w:cs="Arial"/>
          <w:color w:val="000000" w:themeColor="text1"/>
          <w:szCs w:val="20"/>
        </w:rPr>
      </w:pPr>
      <w:r>
        <w:rPr>
          <w:rFonts w:cs="Arial"/>
          <w:b/>
          <w:color w:val="000000" w:themeColor="text1"/>
          <w:szCs w:val="20"/>
        </w:rPr>
        <w:t>Nota Explicativa:</w:t>
      </w:r>
      <w:r>
        <w:rPr>
          <w:rFonts w:cs="Arial"/>
          <w:color w:val="000000" w:themeColor="text1"/>
          <w:szCs w:val="20"/>
        </w:rPr>
        <w:t xml:space="preserve"> Atentar se o sistema já possui essa funcionalidade instalada. Caso não tenha, suprimir o subitem 3.10 e itens subordinados. Se já houver a funcionalidade, a previsão deve ser mantida.</w:t>
      </w:r>
    </w:p>
    <w:p>
      <w:pPr>
        <w:pStyle w:val="PADRO"/>
        <w:keepNext w:val="false"/>
        <w:widowControl/>
        <w:numPr>
          <w:ilvl w:val="0"/>
          <w:numId w:val="1"/>
        </w:numPr>
        <w:shd w:val="clear" w:color="auto" w:fill="auto"/>
        <w:spacing w:before="120" w:after="120"/>
        <w:rPr>
          <w:rFonts w:ascii="Arial" w:hAnsi="Arial" w:cs="Arial"/>
          <w:b/>
          <w:b/>
        </w:rPr>
      </w:pPr>
      <w:r>
        <w:rPr>
          <w:rFonts w:cs="Arial" w:ascii="Arial" w:hAnsi="Arial"/>
          <w:b/>
        </w:rPr>
        <w:t>FASE DE LANCES</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 xml:space="preserve">A partir das 8:00h da data estabelecida neste Aviso de Contratação Direta, a sessão pública será automaticamente aberta pelo sistema para o envio de lances públicos e sucessivos, </w:t>
      </w:r>
      <w:r>
        <w:rPr>
          <w:rFonts w:cs="Arial"/>
          <w:bCs/>
          <w:szCs w:val="20"/>
          <w:lang w:eastAsia="en-US"/>
        </w:rPr>
        <w:t>exclusivamente por meio do sistema eletrônico</w:t>
      </w:r>
      <w:r>
        <w:rPr>
          <w:rFonts w:cs="Arial"/>
          <w:szCs w:val="20"/>
          <w:lang w:eastAsia="en-US"/>
        </w:rPr>
        <w:t xml:space="preserve">, </w:t>
      </w:r>
      <w:r>
        <w:rPr>
          <w:rFonts w:cs="Arial"/>
          <w:color w:val="000000" w:themeColor="text1"/>
          <w:szCs w:val="20"/>
          <w:lang w:eastAsia="en-US"/>
        </w:rPr>
        <w:t>sendo encerrado no horário de finalização de lances também já previsto neste aviso.</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rPr>
        <w:t xml:space="preserve">Iniciada a etapa competitiva, os fornecedores deverão encaminhar lances exclusivamente por meio de sistema eletrônico, sendo imediatamente informados do seu recebimento e do valor consignado no registro. </w:t>
      </w:r>
    </w:p>
    <w:p>
      <w:pPr>
        <w:pStyle w:val="ListParagraph"/>
        <w:numPr>
          <w:ilvl w:val="2"/>
          <w:numId w:val="1"/>
        </w:numPr>
        <w:spacing w:lineRule="auto" w:line="276" w:before="120" w:after="120"/>
        <w:contextualSpacing/>
        <w:jc w:val="both"/>
        <w:rPr>
          <w:rFonts w:cs="Arial"/>
          <w:color w:val="000000" w:themeColor="text1"/>
          <w:szCs w:val="20"/>
          <w:lang w:eastAsia="en-US"/>
        </w:rPr>
      </w:pPr>
      <w:r>
        <w:rPr/>
        <w:t xml:space="preserve"> </w:t>
      </w:r>
      <w:r>
        <w:rPr>
          <w:rFonts w:cs="Arial"/>
          <w:i/>
          <w:iCs/>
          <w:color w:val="FF0000"/>
          <w:szCs w:val="20"/>
          <w:shd w:fill="FFFF00" w:val="clear"/>
          <w:lang w:eastAsia="en-US"/>
        </w:rPr>
        <w:t xml:space="preserve">O lance deverá ser ofertado pelo valor total do </w:t>
      </w:r>
      <w:r>
        <w:rPr>
          <w:rFonts w:cs="Arial"/>
          <w:i/>
          <w:iCs/>
          <w:color w:val="FF0000"/>
          <w:szCs w:val="20"/>
          <w:shd w:fill="FFFF00" w:val="clear"/>
          <w:lang w:eastAsia="en-US"/>
        </w:rPr>
        <w:t>item.</w:t>
      </w:r>
    </w:p>
    <w:p>
      <w:pPr>
        <w:pStyle w:val="ListParagraph"/>
        <w:numPr>
          <w:ilvl w:val="0"/>
          <w:numId w:val="0"/>
        </w:numPr>
        <w:spacing w:lineRule="auto" w:line="276" w:before="120" w:after="120"/>
        <w:ind w:left="0" w:hanging="0"/>
        <w:contextualSpacing/>
        <w:jc w:val="both"/>
        <w:rPr>
          <w:highlight w:val="none"/>
          <w:shd w:fill="FFFF00" w:val="clear"/>
        </w:rPr>
      </w:pPr>
      <w:r>
        <w:rPr>
          <w:shd w:fill="FFFF00" w:val="clear"/>
        </w:rPr>
      </w:r>
    </w:p>
    <w:p>
      <w:pPr>
        <w:pStyle w:val="Quote"/>
        <w:spacing w:lineRule="auto" w:line="276"/>
        <w:rPr>
          <w:rFonts w:cs="Arial"/>
        </w:rPr>
      </w:pPr>
      <w:r>
        <w:rPr>
          <w:rFonts w:cs="Arial"/>
          <w:b/>
          <w:bCs/>
        </w:rPr>
        <w:t>Nota explicativa:</w:t>
      </w:r>
      <w:r>
        <w:rPr>
          <w:rFonts w:cs="Arial"/>
        </w:rPr>
        <w:t xml:space="preserve"> Deve a autoridade optar por uma ou outra redação do item em conformidade ao objeto a ser contratado e ao critério de julgamento já estabelecido.</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 xml:space="preserve">O fornecedor somente poderá oferecer valor inferior </w:t>
      </w:r>
      <w:r>
        <w:rPr>
          <w:rFonts w:cs="Arial"/>
          <w:color w:val="000000" w:themeColor="text1"/>
          <w:szCs w:val="20"/>
          <w:shd w:fill="auto" w:val="clear"/>
          <w:lang w:eastAsia="en-US"/>
        </w:rPr>
        <w:t>ou maior percentual</w:t>
      </w:r>
      <w:r>
        <w:rPr>
          <w:rFonts w:cs="Arial"/>
          <w:color w:val="000000" w:themeColor="text1"/>
          <w:szCs w:val="20"/>
          <w:lang w:eastAsia="en-US"/>
        </w:rPr>
        <w:t xml:space="preserve"> de desconto em relação ao último lance por ele ofertado e registrado pelo sistema.</w:t>
      </w:r>
    </w:p>
    <w:p>
      <w:pPr>
        <w:pStyle w:val="ListParagraph"/>
        <w:numPr>
          <w:ilvl w:val="2"/>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ListParagraph"/>
        <w:numPr>
          <w:ilvl w:val="2"/>
          <w:numId w:val="1"/>
        </w:numPr>
        <w:spacing w:lineRule="auto" w:line="276" w:before="120" w:after="120"/>
        <w:contextualSpacing/>
        <w:jc w:val="both"/>
        <w:rPr>
          <w:rFonts w:cs="Arial"/>
          <w:color w:val="000000" w:themeColor="text1"/>
          <w:szCs w:val="20"/>
          <w:lang w:eastAsia="en-US"/>
        </w:rPr>
      </w:pPr>
      <w:r>
        <w:rPr>
          <w:rFonts w:cs="Arial"/>
          <w:szCs w:val="20"/>
        </w:rPr>
        <w:t>O intervalo mínimo de diferença de valores ou percentuais entre os lances, que incidirá tanto em relação aos lances intermediários quanto em relação ao que cobrir a melhor ofert</w:t>
      </w:r>
      <w:r>
        <w:rPr>
          <w:rFonts w:cs="Arial"/>
          <w:szCs w:val="20"/>
          <w:shd w:fill="auto" w:val="clear"/>
        </w:rPr>
        <w:t>a é de</w:t>
      </w:r>
      <w:r>
        <w:rPr>
          <w:rFonts w:cs="Arial"/>
          <w:i/>
          <w:iCs/>
          <w:szCs w:val="20"/>
          <w:shd w:fill="auto" w:val="clear"/>
        </w:rPr>
        <w:t xml:space="preserve"> </w:t>
      </w:r>
      <w:r>
        <w:rPr>
          <w:rFonts w:cs="Arial"/>
          <w:i/>
          <w:iCs/>
          <w:color w:val="FF0000"/>
          <w:szCs w:val="20"/>
          <w:shd w:fill="auto" w:val="clear"/>
        </w:rPr>
        <w:t>........ (....).</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Havendo lances iguais ao menor já ofertado, prevalecerá aquele que for recebido e registrado primeiro no sistema.</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Caso o fornecedor não apresente lances, concorrerá com o valor de sua proposta.</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Durante o procedimento, os fornecedores serão informados, em tempo real, do valor do menor lance registrado, vedada a identificação do fornecedor.</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pPr>
        <w:pStyle w:val="ListParagraph"/>
        <w:numPr>
          <w:ilvl w:val="2"/>
          <w:numId w:val="1"/>
        </w:numPr>
        <w:spacing w:lineRule="auto" w:line="276" w:before="120" w:after="120"/>
        <w:contextualSpacing/>
        <w:jc w:val="both"/>
        <w:rPr>
          <w:rFonts w:cs="Arial"/>
        </w:rPr>
      </w:pPr>
      <w:r>
        <w:rPr>
          <w:rFonts w:cs="Arial"/>
          <w:color w:val="000000" w:themeColor="text1"/>
          <w:szCs w:val="20"/>
          <w:lang w:eastAsia="en-US"/>
        </w:rPr>
        <w:t>O encerramento da fase de lances ocorrerá de forma automática pontualmente no horário indicado, sem qualquer possibilidade de prorrogação e não havendo tempo aleatório ou mecanismo similar.</w:t>
      </w:r>
    </w:p>
    <w:p>
      <w:pPr>
        <w:pStyle w:val="PADRO"/>
        <w:keepNext w:val="false"/>
        <w:widowControl/>
        <w:numPr>
          <w:ilvl w:val="0"/>
          <w:numId w:val="1"/>
        </w:numPr>
        <w:shd w:val="clear" w:color="auto" w:fill="auto"/>
        <w:spacing w:before="120" w:after="120"/>
        <w:rPr>
          <w:rFonts w:ascii="Arial" w:hAnsi="Arial" w:cs="Arial"/>
          <w:b/>
          <w:b/>
        </w:rPr>
      </w:pPr>
      <w:r>
        <w:rPr>
          <w:rFonts w:cs="Arial" w:ascii="Arial" w:hAnsi="Arial"/>
          <w:b/>
        </w:rPr>
        <w:t>JULGAMENTO DAS PROPOSTAS DE PREÇO</w:t>
      </w:r>
    </w:p>
    <w:p>
      <w:pPr>
        <w:pStyle w:val="ListParagraph"/>
        <w:numPr>
          <w:ilvl w:val="1"/>
          <w:numId w:val="1"/>
        </w:numPr>
        <w:spacing w:lineRule="auto" w:line="276" w:before="120" w:after="120"/>
        <w:contextualSpacing/>
        <w:jc w:val="both"/>
        <w:rPr>
          <w:rFonts w:cs="Arial"/>
        </w:rPr>
      </w:pPr>
      <w:r>
        <w:rPr>
          <w:rFonts w:cs="Arial"/>
        </w:rPr>
        <w:t>Encerrada a fase de lances, será verificada a conformidade da proposta classificada em primeiro lugar quanto à adequação do objeto e à compatibilidade do preço em relação ao estipulado para a contratação.</w:t>
      </w:r>
    </w:p>
    <w:p>
      <w:pPr>
        <w:pStyle w:val="ListParagraph"/>
        <w:numPr>
          <w:ilvl w:val="1"/>
          <w:numId w:val="1"/>
        </w:numPr>
        <w:spacing w:lineRule="auto" w:line="276" w:before="120" w:after="120"/>
        <w:contextualSpacing/>
        <w:jc w:val="both"/>
        <w:rPr>
          <w:rFonts w:cs="Arial"/>
        </w:rPr>
      </w:pPr>
      <w:r>
        <w:rPr>
          <w:rFonts w:cs="Arial"/>
        </w:rPr>
        <w:t>No caso de o preço da proposta vencedora estar acima do estimado pela Administração, poderá haver a negociação de condições mais vantajosas.</w:t>
      </w:r>
    </w:p>
    <w:p>
      <w:pPr>
        <w:pStyle w:val="ListParagraph"/>
        <w:numPr>
          <w:ilvl w:val="2"/>
          <w:numId w:val="1"/>
        </w:numPr>
        <w:spacing w:lineRule="auto" w:line="276" w:before="120" w:after="120"/>
        <w:contextualSpacing/>
        <w:jc w:val="both"/>
        <w:rPr>
          <w:rFonts w:cs="Arial"/>
        </w:rPr>
      </w:pPr>
      <w:r>
        <w:rPr>
          <w:rFonts w:cs="Arial"/>
          <w:color w:val="000000"/>
          <w:szCs w:val="20"/>
        </w:rPr>
        <w:t>Neste caso, será encaminhada contraproposta ao fornecedor que tenha apresentado o melhor preço, para que seja obtida melhor proposta com preço compatível ao estimado pela Administração.</w:t>
      </w:r>
    </w:p>
    <w:p>
      <w:pPr>
        <w:pStyle w:val="ListParagraph"/>
        <w:numPr>
          <w:ilvl w:val="2"/>
          <w:numId w:val="1"/>
        </w:numPr>
        <w:spacing w:lineRule="auto" w:line="276" w:before="120" w:after="120"/>
        <w:contextualSpacing/>
        <w:jc w:val="both"/>
        <w:rPr>
          <w:rFonts w:cs="Arial"/>
        </w:rPr>
      </w:pPr>
      <w:r>
        <w:rPr>
          <w:rFonts w:cs="Arial"/>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ListParagraph"/>
        <w:numPr>
          <w:ilvl w:val="2"/>
          <w:numId w:val="1"/>
        </w:numPr>
        <w:spacing w:lineRule="auto" w:line="276" w:before="120" w:after="120"/>
        <w:contextualSpacing/>
        <w:jc w:val="both"/>
        <w:rPr>
          <w:rFonts w:cs="Arial"/>
        </w:rPr>
      </w:pPr>
      <w:r>
        <w:rPr>
          <w:rFonts w:cs="Arial"/>
        </w:rPr>
        <w:t>Em qualquer caso, concluída a negociação, o resultado será registrado na ata do procedimento da dispensa eletrônica.</w:t>
      </w:r>
    </w:p>
    <w:p>
      <w:pPr>
        <w:pStyle w:val="ListParagraph"/>
        <w:numPr>
          <w:ilvl w:val="1"/>
          <w:numId w:val="1"/>
        </w:numPr>
        <w:spacing w:lineRule="auto" w:line="276" w:before="120" w:after="120"/>
        <w:contextualSpacing/>
        <w:jc w:val="both"/>
        <w:rPr>
          <w:rFonts w:cs="Arial"/>
        </w:rPr>
      </w:pPr>
      <w:r>
        <w:rPr>
          <w:rFonts w:cs="Arial"/>
        </w:rPr>
        <w:t>Estando o preço compatível, será solicitado o envio da proposta e, se necessário, de documentos complementares, adequada ao último lance.</w:t>
      </w:r>
    </w:p>
    <w:p>
      <w:pPr>
        <w:pStyle w:val="Quote"/>
        <w:spacing w:lineRule="auto" w:line="276"/>
        <w:rPr>
          <w:rFonts w:cs="Arial"/>
        </w:rPr>
      </w:pPr>
      <w:r>
        <w:rPr>
          <w:rFonts w:cs="Arial"/>
          <w:b/>
          <w:bCs/>
        </w:rPr>
        <w:t>Nota Explicativa:</w:t>
      </w:r>
      <w:r>
        <w:rPr>
          <w:rFonts w:cs="Arial"/>
        </w:rPr>
        <w:t xml:space="preserve"> utilizar os subitens acima caso o objeto a ser contratado exija a discriminação de custos unitários e/ou a apresentação de planilha de formação de preços (ex: serviços de engenharia ou serviços com dedicação de mão-de-obra). Deve-se verificar, outrossim, se a inexequibilidade de custos unitários isolados será utilizada como critério de desclassificação.</w:t>
      </w:r>
    </w:p>
    <w:p>
      <w:pPr>
        <w:pStyle w:val="Normal"/>
        <w:numPr>
          <w:ilvl w:val="1"/>
          <w:numId w:val="1"/>
        </w:numPr>
        <w:spacing w:lineRule="auto" w:line="276" w:before="120" w:after="120"/>
        <w:jc w:val="both"/>
        <w:rPr>
          <w:rFonts w:cs="Arial"/>
          <w:color w:val="000000" w:themeColor="text1"/>
          <w:szCs w:val="20"/>
        </w:rPr>
      </w:pPr>
      <w:r>
        <w:rPr>
          <w:rFonts w:cs="Arial"/>
          <w:color w:val="000000" w:themeColor="text1"/>
          <w:szCs w:val="20"/>
        </w:rPr>
        <w:t xml:space="preserve">O prazo de validade </w:t>
      </w:r>
      <w:r>
        <w:rPr>
          <w:rFonts w:cs="Arial"/>
          <w:szCs w:val="20"/>
        </w:rPr>
        <w:t>da</w:t>
      </w:r>
      <w:r>
        <w:rPr>
          <w:rFonts w:cs="Arial"/>
          <w:color w:val="000000" w:themeColor="text1"/>
          <w:szCs w:val="20"/>
        </w:rPr>
        <w:t xml:space="preserve"> proposta não será inferior</w:t>
      </w:r>
      <w:r>
        <w:rPr>
          <w:rFonts w:cs="Arial"/>
          <w:color w:val="000000" w:themeColor="text1"/>
          <w:szCs w:val="20"/>
          <w:shd w:fill="auto" w:val="clear"/>
        </w:rPr>
        <w:t xml:space="preserve"> a </w:t>
      </w:r>
      <w:r>
        <w:rPr>
          <w:rFonts w:cs="Arial"/>
          <w:color w:val="FF0000"/>
          <w:szCs w:val="20"/>
          <w:shd w:fill="auto" w:val="clear"/>
        </w:rPr>
        <w:t>........ (......)</w:t>
      </w:r>
      <w:r>
        <w:rPr>
          <w:rFonts w:cs="Arial"/>
          <w:color w:val="000000" w:themeColor="text1"/>
          <w:szCs w:val="20"/>
          <w:shd w:fill="auto" w:val="clear"/>
        </w:rPr>
        <w:t xml:space="preserve"> d</w:t>
      </w:r>
      <w:r>
        <w:rPr>
          <w:rFonts w:cs="Arial"/>
          <w:color w:val="000000" w:themeColor="text1"/>
          <w:szCs w:val="20"/>
        </w:rPr>
        <w:t>ias</w:t>
      </w:r>
      <w:r>
        <w:rPr>
          <w:rFonts w:cs="Arial"/>
          <w:b/>
          <w:bCs/>
          <w:color w:val="000000" w:themeColor="text1"/>
          <w:szCs w:val="20"/>
        </w:rPr>
        <w:t>,</w:t>
      </w:r>
      <w:r>
        <w:rPr>
          <w:rFonts w:cs="Arial"/>
          <w:color w:val="000000" w:themeColor="text1"/>
          <w:szCs w:val="20"/>
        </w:rPr>
        <w:t xml:space="preserve"> a contar da data de sua apresentação.</w:t>
      </w:r>
    </w:p>
    <w:p>
      <w:pPr>
        <w:pStyle w:val="Quote"/>
        <w:spacing w:lineRule="auto" w:line="276"/>
        <w:rPr>
          <w:rFonts w:cs="Arial"/>
          <w:szCs w:val="20"/>
        </w:rPr>
      </w:pPr>
      <w:r>
        <w:rPr>
          <w:rFonts w:cs="Arial"/>
          <w:b/>
          <w:bCs/>
          <w:szCs w:val="20"/>
        </w:rPr>
        <w:t xml:space="preserve">Nota Explicativa: </w:t>
      </w:r>
      <w:r>
        <w:rPr>
          <w:rFonts w:cs="Arial"/>
          <w:szCs w:val="20"/>
        </w:rPr>
        <w:t>Preencher com prazo reputado como razoável para a conclusão da contratação. Registre-se que não há prazo mínimo ou máximo de validade previsto em normativo neste caso.</w:t>
      </w:r>
    </w:p>
    <w:p>
      <w:pPr>
        <w:pStyle w:val="ListParagraph"/>
        <w:numPr>
          <w:ilvl w:val="0"/>
          <w:numId w:val="0"/>
        </w:numPr>
        <w:spacing w:lineRule="auto" w:line="276" w:before="120" w:after="120"/>
        <w:ind w:hanging="0"/>
        <w:contextualSpacing/>
        <w:jc w:val="both"/>
        <w:rPr>
          <w:rFonts w:cs="Arial"/>
          <w:b/>
          <w:b/>
          <w:bCs/>
          <w:color w:val="FF0000"/>
          <w:szCs w:val="20"/>
          <w:lang w:eastAsia="en-US"/>
        </w:rPr>
      </w:pPr>
      <w:r>
        <w:rPr>
          <w:shd w:fill="FFFF00" w:val="clear"/>
        </w:rPr>
      </w:r>
    </w:p>
    <w:p>
      <w:pPr>
        <w:pStyle w:val="Quote"/>
        <w:spacing w:lineRule="auto" w:line="276"/>
        <w:rPr>
          <w:rFonts w:cs="Arial"/>
          <w:color w:val="000000" w:themeColor="text1"/>
          <w:szCs w:val="20"/>
        </w:rPr>
      </w:pPr>
      <w:r>
        <w:rPr>
          <w:rFonts w:cs="Arial"/>
          <w:b/>
          <w:color w:val="000000" w:themeColor="text1"/>
          <w:szCs w:val="20"/>
        </w:rPr>
        <w:t>Nota Explicativa:</w:t>
      </w:r>
      <w:r>
        <w:rPr>
          <w:rFonts w:cs="Arial"/>
          <w:color w:val="000000" w:themeColor="text1"/>
          <w:szCs w:val="20"/>
        </w:rPr>
        <w:t xml:space="preserve"> A disposição supracitada aplica-se apenas a obras ou serviços de engenharia. Recomenda-se suprimir para demais objetos contratuais, para maior clareza.</w:t>
      </w:r>
    </w:p>
    <w:p>
      <w:pPr>
        <w:pStyle w:val="ListParagraph"/>
        <w:numPr>
          <w:ilvl w:val="1"/>
          <w:numId w:val="1"/>
        </w:numPr>
        <w:spacing w:lineRule="auto" w:line="276" w:before="120" w:after="120"/>
        <w:ind w:left="792" w:right="-15" w:hanging="432"/>
        <w:contextualSpacing/>
        <w:jc w:val="both"/>
        <w:rPr>
          <w:rFonts w:cs="Arial"/>
          <w:color w:val="000000" w:themeColor="text1"/>
          <w:szCs w:val="20"/>
          <w:lang w:eastAsia="en-US"/>
        </w:rPr>
      </w:pPr>
      <w:r>
        <w:rPr>
          <w:rFonts w:cs="Arial"/>
          <w:color w:val="000000" w:themeColor="text1"/>
          <w:szCs w:val="20"/>
          <w:lang w:eastAsia="en-US"/>
        </w:rPr>
        <w:t xml:space="preserve">Se houver indícios de inexequibilidade da proposta de preço, ou em caso da necessidade de esclarecimentos </w:t>
      </w:r>
      <w:r>
        <w:rPr>
          <w:rFonts w:cs="Arial"/>
          <w:szCs w:val="20"/>
        </w:rPr>
        <w:t>complementares</w:t>
      </w:r>
      <w:r>
        <w:rPr>
          <w:rFonts w:cs="Arial"/>
          <w:color w:val="000000" w:themeColor="text1"/>
          <w:szCs w:val="20"/>
          <w:lang w:eastAsia="en-US"/>
        </w:rPr>
        <w:t xml:space="preserve">, poderão ser efetuadas diligências, para que a empresa comprove a exequibilidade da proposta.  </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 xml:space="preserve">Erros no preenchimento da planilha não constituem motivo para a desclassificação da proposta. A planilha </w:t>
      </w:r>
      <w:r>
        <w:rPr>
          <w:rFonts w:cs="Arial"/>
          <w:szCs w:val="20"/>
        </w:rPr>
        <w:t>poderá</w:t>
      </w:r>
      <w:r>
        <w:rPr>
          <w:rFonts w:cs="Arial"/>
          <w:color w:val="000000" w:themeColor="text1"/>
          <w:szCs w:val="20"/>
          <w:lang w:eastAsia="en-US"/>
        </w:rPr>
        <w:t xml:space="preserve"> ser ajustada pelo fornecedor, no prazo indicado pelo sistema, desde que não haja majoração do preço.</w:t>
      </w:r>
    </w:p>
    <w:p>
      <w:pPr>
        <w:pStyle w:val="ListParagraph"/>
        <w:numPr>
          <w:ilvl w:val="2"/>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O ajuste de que trata este dispositivo se limita a sanar erros ou falhas que não alterem a substância das propostas;</w:t>
      </w:r>
    </w:p>
    <w:p>
      <w:pPr>
        <w:pStyle w:val="ListParagraph"/>
        <w:numPr>
          <w:ilvl w:val="2"/>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Considera-se erro no preenchimento da planilha passível de correção a indicação de recolhimento de impostos e contribuições na forma do Simples Nacional, quando não cabível esse regime.</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Se a proposta ou lance vencedor for desclassificado, será examinada a proposta ou lance subsequente, e, assim sucessivamente, na ordem de classificação.</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Havendo necessidade, a sessão será suspensa, informando-se no “chat” a nova data e horário para a sua continuidade.</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Encerrada a análise quanto à aceitação da proposta, se iniciará a fase de habilitação, observado o disposto neste Aviso de Contratação Direta. </w:t>
      </w:r>
    </w:p>
    <w:p>
      <w:pPr>
        <w:pStyle w:val="PADRO"/>
        <w:keepNext w:val="false"/>
        <w:widowControl/>
        <w:numPr>
          <w:ilvl w:val="0"/>
          <w:numId w:val="1"/>
        </w:numPr>
        <w:shd w:val="clear" w:color="auto" w:fill="auto"/>
        <w:spacing w:before="120" w:after="120"/>
        <w:rPr>
          <w:rFonts w:ascii="Arial" w:hAnsi="Arial" w:cs="Arial"/>
          <w:b/>
          <w:b/>
        </w:rPr>
      </w:pPr>
      <w:r>
        <w:rPr>
          <w:rFonts w:cs="Arial" w:ascii="Arial" w:hAnsi="Arial"/>
          <w:b/>
        </w:rPr>
        <w:t>HABILITAÇÃO</w:t>
      </w:r>
    </w:p>
    <w:p>
      <w:pPr>
        <w:pStyle w:val="ListParagraph"/>
        <w:numPr>
          <w:ilvl w:val="1"/>
          <w:numId w:val="1"/>
        </w:numPr>
        <w:spacing w:lineRule="auto" w:line="276" w:before="120" w:after="120"/>
        <w:ind w:left="792" w:hanging="574"/>
        <w:contextualSpacing/>
        <w:jc w:val="both"/>
        <w:rPr>
          <w:rFonts w:cs="Arial"/>
          <w:b/>
          <w:b/>
          <w:szCs w:val="20"/>
          <w:lang w:eastAsia="ar-SA"/>
        </w:rPr>
      </w:pPr>
      <w:r>
        <w:rPr>
          <w:rFonts w:cs="Arial"/>
          <w:szCs w:val="20"/>
          <w:lang w:eastAsia="ar-SA"/>
        </w:rPr>
        <w:t xml:space="preserve">Os </w:t>
      </w:r>
      <w:r>
        <w:rPr>
          <w:rFonts w:cs="Arial"/>
          <w:color w:val="000000"/>
          <w:szCs w:val="20"/>
        </w:rPr>
        <w:t>documentos</w:t>
      </w:r>
      <w:r>
        <w:rPr>
          <w:rFonts w:cs="Arial"/>
          <w:szCs w:val="20"/>
          <w:lang w:eastAsia="ar-SA"/>
        </w:rPr>
        <w:t xml:space="preserve"> a serem exigidos para fins de habilitação constam do </w:t>
      </w:r>
      <w:r>
        <w:rPr>
          <w:rFonts w:cs="Arial"/>
          <w:b/>
          <w:szCs w:val="20"/>
          <w:lang w:eastAsia="ar-SA"/>
        </w:rPr>
        <w:t xml:space="preserve">ANEXO I – DOCUMENTAÇÃO EXIGIDA PARA HABILITAÇÃO </w:t>
      </w:r>
      <w:r>
        <w:rPr>
          <w:rFonts w:cs="Arial"/>
          <w:szCs w:val="20"/>
          <w:lang w:eastAsia="ar-SA"/>
        </w:rPr>
        <w:t>deste aviso e serão solicitados do fornecedor mais bem classificado da fase de lances.</w:t>
      </w:r>
    </w:p>
    <w:p>
      <w:pPr>
        <w:pStyle w:val="ListParagraph"/>
        <w:numPr>
          <w:ilvl w:val="1"/>
          <w:numId w:val="1"/>
        </w:numPr>
        <w:spacing w:lineRule="auto" w:line="276" w:before="120" w:after="120"/>
        <w:ind w:left="792" w:hanging="574"/>
        <w:contextualSpacing/>
        <w:jc w:val="both"/>
        <w:rPr>
          <w:rFonts w:cs="Arial"/>
          <w:b/>
          <w:b/>
          <w:szCs w:val="20"/>
          <w:lang w:eastAsia="ar-SA"/>
        </w:rPr>
      </w:pPr>
      <w:r>
        <w:rPr>
          <w:rFonts w:cs="Arial"/>
          <w:szCs w:val="20"/>
          <w:lang w:eastAsia="ar-SA"/>
        </w:rPr>
        <w:t xml:space="preserve">Como </w:t>
      </w:r>
      <w:r>
        <w:rPr>
          <w:rFonts w:cs="Arial"/>
          <w:color w:val="000000"/>
          <w:szCs w:val="20"/>
        </w:rPr>
        <w:t>condição</w:t>
      </w:r>
      <w:r>
        <w:rPr>
          <w:rFonts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ListParagraph"/>
        <w:spacing w:lineRule="auto" w:line="276" w:before="120" w:after="120"/>
        <w:ind w:left="1134" w:hanging="0"/>
        <w:contextualSpacing/>
        <w:jc w:val="both"/>
        <w:rPr>
          <w:rFonts w:cs="Arial"/>
          <w:szCs w:val="20"/>
          <w:lang w:eastAsia="ar-SA"/>
        </w:rPr>
      </w:pPr>
      <w:r>
        <w:rPr>
          <w:rFonts w:cs="Arial"/>
          <w:szCs w:val="20"/>
          <w:lang w:eastAsia="ar-SA"/>
        </w:rPr>
        <w:t xml:space="preserve">a) SICAF;  </w:t>
      </w:r>
    </w:p>
    <w:p>
      <w:pPr>
        <w:pStyle w:val="ListParagraph"/>
        <w:spacing w:lineRule="auto" w:line="276" w:before="120" w:after="120"/>
        <w:ind w:left="1134" w:hanging="0"/>
        <w:contextualSpacing/>
        <w:jc w:val="both"/>
        <w:rPr>
          <w:rFonts w:cs="Arial"/>
          <w:szCs w:val="20"/>
          <w:lang w:eastAsia="ar-SA"/>
        </w:rPr>
      </w:pPr>
      <w:r>
        <w:rPr>
          <w:rFonts w:cs="Arial"/>
          <w:szCs w:val="20"/>
          <w:lang w:eastAsia="ar-SA"/>
        </w:rPr>
        <w:t>b) Cadastro Nacional de Empresas Inidôneas e Suspensas - CEIS, mantido pela Controladoria-Geral da União (</w:t>
      </w:r>
      <w:hyperlink r:id="rId4">
        <w:r>
          <w:rPr>
            <w:rStyle w:val="LinkdaInternet"/>
            <w:rFonts w:eastAsia="Calibri" w:cs="Arial"/>
            <w:lang w:eastAsia="ar-SA"/>
          </w:rPr>
          <w:t>www.portaldatransparencia.gov.br/ceis</w:t>
        </w:r>
      </w:hyperlink>
      <w:r>
        <w:rPr>
          <w:rFonts w:cs="Arial"/>
          <w:szCs w:val="20"/>
          <w:lang w:eastAsia="ar-SA"/>
        </w:rPr>
        <w:t xml:space="preserve">);  </w:t>
      </w:r>
    </w:p>
    <w:p>
      <w:pPr>
        <w:pStyle w:val="ListParagraph"/>
        <w:spacing w:lineRule="auto" w:line="276" w:before="120" w:after="120"/>
        <w:ind w:left="1134" w:hanging="0"/>
        <w:contextualSpacing/>
        <w:jc w:val="both"/>
        <w:rPr>
          <w:rFonts w:cs="Arial"/>
          <w:szCs w:val="20"/>
          <w:lang w:eastAsia="ar-SA"/>
        </w:rPr>
      </w:pPr>
      <w:r>
        <w:rPr>
          <w:rFonts w:cs="Arial"/>
          <w:szCs w:val="20"/>
          <w:lang w:eastAsia="ar-SA"/>
        </w:rPr>
        <w:t>c) Cadastro Nacional de Condenações Cíveis por Atos de Improbidade Administrativa, mantido pelo Conselho Nacional de Justiça (</w:t>
      </w:r>
      <w:hyperlink r:id="rId5">
        <w:r>
          <w:rPr>
            <w:rStyle w:val="LinkdaInternet"/>
            <w:rFonts w:eastAsia="Calibri" w:cs="Arial"/>
            <w:lang w:eastAsia="ar-SA"/>
          </w:rPr>
          <w:t>www.cnj.jus.br/improbidade_adm/consultar_requerido.php</w:t>
        </w:r>
      </w:hyperlink>
      <w:r>
        <w:rPr>
          <w:rFonts w:cs="Arial"/>
          <w:szCs w:val="20"/>
          <w:lang w:eastAsia="ar-SA"/>
        </w:rPr>
        <w:t xml:space="preserve">).  </w:t>
      </w:r>
    </w:p>
    <w:p>
      <w:pPr>
        <w:pStyle w:val="ListParagraph"/>
        <w:spacing w:lineRule="auto" w:line="276" w:before="120" w:after="120"/>
        <w:ind w:left="1134" w:hanging="0"/>
        <w:contextualSpacing/>
        <w:jc w:val="both"/>
        <w:rPr>
          <w:rFonts w:cs="Arial"/>
          <w:szCs w:val="20"/>
          <w:lang w:eastAsia="ar-SA"/>
        </w:rPr>
      </w:pPr>
      <w:r>
        <w:rPr>
          <w:rFonts w:cs="Arial"/>
          <w:szCs w:val="20"/>
          <w:lang w:eastAsia="ar-SA"/>
        </w:rPr>
        <w:t xml:space="preserve">d) Lista de Inidôneos mantida pelo Tribunal de Contas da União - TCU; </w:t>
      </w:r>
    </w:p>
    <w:p>
      <w:pPr>
        <w:pStyle w:val="ListParagraph"/>
        <w:numPr>
          <w:ilvl w:val="2"/>
          <w:numId w:val="1"/>
        </w:numPr>
        <w:spacing w:lineRule="auto" w:line="276" w:before="120" w:after="120"/>
        <w:contextualSpacing/>
        <w:jc w:val="both"/>
        <w:rPr>
          <w:rFonts w:cs="Arial"/>
          <w:b/>
          <w:b/>
          <w:szCs w:val="20"/>
        </w:rPr>
      </w:pPr>
      <w:r>
        <w:rPr>
          <w:rFonts w:cs="Arial"/>
          <w:szCs w:val="20"/>
          <w:lang w:eastAsia="ar-SA"/>
        </w:rPr>
        <w:t xml:space="preserve">Para a consulta de </w:t>
      </w:r>
      <w:r>
        <w:rPr>
          <w:rFonts w:cs="Arial"/>
          <w:color w:val="000000" w:themeColor="text1"/>
          <w:szCs w:val="20"/>
        </w:rPr>
        <w:t>fornecedores</w:t>
      </w:r>
      <w:r>
        <w:rPr>
          <w:rFonts w:cs="Arial"/>
          <w:szCs w:val="20"/>
          <w:lang w:eastAsia="ar-SA"/>
        </w:rPr>
        <w:t xml:space="preserve"> pessoa jurídica poderá haver a substituição das consultas das alíneas “b”, “c” e “d” acima pela Consulta Consolidada de Pessoa Jurídica do TCU (https://certidoesapf.apps.tcu.gov.br/)</w:t>
      </w:r>
    </w:p>
    <w:p>
      <w:pPr>
        <w:pStyle w:val="Citao2"/>
        <w:spacing w:lineRule="auto" w:line="276"/>
        <w:rPr>
          <w:rFonts w:cs="Arial"/>
          <w:szCs w:val="24"/>
        </w:rPr>
      </w:pPr>
      <w:r>
        <w:rPr>
          <w:rFonts w:cs="Arial"/>
          <w:b/>
          <w:bCs/>
        </w:rPr>
        <w:t>Nota explicativa</w:t>
      </w:r>
      <w:r>
        <w:rPr>
          <w:rFonts w:cs="Arial"/>
        </w:rPr>
        <w:t>: A consulta aos dois cadastros – CEIS e CNJ –, além do tradicional SICAF, na fase de habilitação, é recomendação do TCU (Acórdão n° 1.793/2011 – Plenário). Trata-se de verificação da própria condição de participação na contratação.</w:t>
      </w:r>
    </w:p>
    <w:p>
      <w:pPr>
        <w:pStyle w:val="Citao2"/>
        <w:spacing w:lineRule="auto" w:line="276"/>
        <w:rPr>
          <w:rFonts w:cs="Arial"/>
        </w:rPr>
      </w:pPr>
      <w:r>
        <w:rPr>
          <w:rFonts w:cs="Arial"/>
        </w:rPr>
        <w:t>A Consulta Consolidada de Pessoa Jurídica do TCU abrange o cadastro do CNJ, do CEIS, do próprio TCU e o Cadastro Nacional de Empresas Punidas – CNEP do Portal da Transparência.</w:t>
      </w:r>
    </w:p>
    <w:p>
      <w:pPr>
        <w:pStyle w:val="ListParagraph"/>
        <w:numPr>
          <w:ilvl w:val="2"/>
          <w:numId w:val="1"/>
        </w:numPr>
        <w:spacing w:lineRule="auto" w:line="276" w:before="120" w:after="120"/>
        <w:contextualSpacing/>
        <w:jc w:val="both"/>
        <w:rPr>
          <w:rFonts w:cs="Arial"/>
          <w:szCs w:val="20"/>
        </w:rPr>
      </w:pPr>
      <w:r>
        <w:rPr>
          <w:rFonts w:cs="Arial"/>
          <w:color w:val="000000" w:themeColor="text1"/>
          <w:szCs w:val="20"/>
        </w:rPr>
        <w:t xml:space="preserve">A consulta aos </w:t>
      </w:r>
      <w:r>
        <w:rPr>
          <w:rFonts w:cs="Arial"/>
          <w:szCs w:val="20"/>
          <w:lang w:eastAsia="ar-SA"/>
        </w:rPr>
        <w:t>cadastros</w:t>
      </w:r>
      <w:r>
        <w:rPr>
          <w:rFonts w:cs="Arial"/>
          <w:color w:val="000000" w:themeColor="text1"/>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numPr>
          <w:ilvl w:val="3"/>
          <w:numId w:val="1"/>
        </w:numPr>
        <w:spacing w:lineRule="auto" w:line="276" w:before="120" w:after="120"/>
        <w:contextualSpacing/>
        <w:jc w:val="both"/>
        <w:rPr>
          <w:rFonts w:cs="Arial"/>
          <w:szCs w:val="20"/>
        </w:rPr>
      </w:pPr>
      <w:r>
        <w:rPr>
          <w:rFonts w:cs="Arial"/>
          <w:color w:val="000000" w:themeColor="text1"/>
          <w:szCs w:val="20"/>
        </w:rPr>
        <w:t>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numPr>
          <w:ilvl w:val="4"/>
          <w:numId w:val="1"/>
        </w:numPr>
        <w:spacing w:lineRule="auto" w:line="276" w:before="120" w:after="120"/>
        <w:contextualSpacing/>
        <w:jc w:val="both"/>
        <w:rPr>
          <w:rFonts w:cs="Arial"/>
          <w:color w:val="000000" w:themeColor="text1"/>
          <w:szCs w:val="20"/>
        </w:rPr>
      </w:pPr>
      <w:r>
        <w:rPr>
          <w:rFonts w:cs="Arial"/>
          <w:color w:val="000000" w:themeColor="text1"/>
          <w:szCs w:val="20"/>
        </w:rPr>
        <w:t>A tentativa de burla será verificada por meio dos vínculos societários, linhas de fornecimento similares, dentre outros.</w:t>
      </w:r>
    </w:p>
    <w:p>
      <w:pPr>
        <w:pStyle w:val="ListParagraph"/>
        <w:numPr>
          <w:ilvl w:val="4"/>
          <w:numId w:val="1"/>
        </w:numPr>
        <w:spacing w:lineRule="auto" w:line="276" w:before="120" w:after="120"/>
        <w:contextualSpacing/>
        <w:jc w:val="both"/>
        <w:rPr>
          <w:rFonts w:cs="Arial"/>
          <w:szCs w:val="20"/>
        </w:rPr>
      </w:pPr>
      <w:r>
        <w:rPr>
          <w:rFonts w:cs="Arial"/>
          <w:color w:val="000000" w:themeColor="text1"/>
          <w:szCs w:val="20"/>
        </w:rPr>
        <w:t>O fornecedor será convocado para manifestação previamente à sua desclassificação</w:t>
      </w:r>
    </w:p>
    <w:p>
      <w:pPr>
        <w:pStyle w:val="ListParagraph"/>
        <w:numPr>
          <w:ilvl w:val="2"/>
          <w:numId w:val="1"/>
        </w:numPr>
        <w:spacing w:lineRule="auto" w:line="276" w:before="120" w:after="120"/>
        <w:contextualSpacing/>
        <w:jc w:val="both"/>
        <w:rPr>
          <w:rFonts w:cs="Arial"/>
          <w:szCs w:val="20"/>
        </w:rPr>
      </w:pPr>
      <w:r>
        <w:rPr>
          <w:rFonts w:cs="Arial"/>
          <w:color w:val="000000" w:themeColor="text1"/>
          <w:szCs w:val="20"/>
        </w:rPr>
        <w:t>Constatada a existência de sanção, o fornecedor será reputado inabilitado, por falta de condição de participação.</w:t>
      </w:r>
    </w:p>
    <w:p>
      <w:pPr>
        <w:pStyle w:val="ListParagraph"/>
        <w:numPr>
          <w:ilvl w:val="1"/>
          <w:numId w:val="1"/>
        </w:numPr>
        <w:spacing w:lineRule="auto" w:line="276" w:before="120" w:after="120"/>
        <w:ind w:left="792" w:hanging="574"/>
        <w:contextualSpacing/>
        <w:jc w:val="both"/>
        <w:rPr>
          <w:rFonts w:cs="Arial"/>
          <w:szCs w:val="20"/>
        </w:rPr>
      </w:pPr>
      <w:r>
        <w:rPr>
          <w:rFonts w:cs="Arial"/>
          <w:color w:val="000000" w:themeColor="text1"/>
          <w:szCs w:val="20"/>
        </w:rPr>
        <w:t xml:space="preserve">Caso atendidas as condições de participação, </w:t>
      </w:r>
      <w:r>
        <w:rPr>
          <w:rFonts w:cs="Arial"/>
          <w:szCs w:val="20"/>
        </w:rPr>
        <w:t>a habilitação dos fornecedores será verificada por meio do SICAF, nos documentos por ele abrangidos</w:t>
      </w:r>
      <w:r>
        <w:rPr>
          <w:rFonts w:cs="Arial"/>
          <w:color w:val="000000" w:themeColor="text1"/>
          <w:szCs w:val="20"/>
        </w:rPr>
        <w:t>.</w:t>
      </w:r>
    </w:p>
    <w:p>
      <w:pPr>
        <w:pStyle w:val="ListParagraph"/>
        <w:numPr>
          <w:ilvl w:val="2"/>
          <w:numId w:val="1"/>
        </w:numPr>
        <w:spacing w:lineRule="auto" w:line="276" w:before="120" w:after="120"/>
        <w:contextualSpacing/>
        <w:jc w:val="both"/>
        <w:rPr>
          <w:rFonts w:cs="Arial"/>
          <w:color w:val="000000" w:themeColor="text1"/>
          <w:szCs w:val="20"/>
        </w:rPr>
      </w:pPr>
      <w:r>
        <w:rPr>
          <w:rFonts w:cs="Arial"/>
          <w:color w:val="000000" w:themeColor="text1"/>
          <w:szCs w:val="20"/>
        </w:rPr>
        <w:t>É dever do fornecedor atualizar previamente as comprovações constantes do SICAF para que estejam vigentes na data da abertura da sessão pública, ou encaminhar, quando solicitado, a respectiva documentação atualizada.</w:t>
      </w:r>
    </w:p>
    <w:p>
      <w:pPr>
        <w:pStyle w:val="ListParagraph"/>
        <w:numPr>
          <w:ilvl w:val="2"/>
          <w:numId w:val="1"/>
        </w:numPr>
        <w:spacing w:lineRule="auto" w:line="276" w:before="120" w:after="120"/>
        <w:contextualSpacing/>
        <w:jc w:val="both"/>
        <w:rPr>
          <w:rFonts w:cs="Arial"/>
          <w:color w:val="000000" w:themeColor="text1"/>
          <w:szCs w:val="20"/>
        </w:rPr>
      </w:pPr>
      <w:r>
        <w:rPr>
          <w:rFonts w:cs="Arial"/>
          <w:color w:val="000000" w:themeColor="text1"/>
          <w:szCs w:val="20"/>
        </w:rPr>
        <w:t>O descumprimento do subitem acima implicará a inabilitação do fornecedor, exceto se a consulta aos sítios eletrônicos oficiais emissores de certidões lograr êxito em encontrar a(s) certidão(ões) válida(s).</w:t>
      </w:r>
    </w:p>
    <w:p>
      <w:pPr>
        <w:pStyle w:val="ListParagraph"/>
        <w:numPr>
          <w:ilvl w:val="1"/>
          <w:numId w:val="1"/>
        </w:numPr>
        <w:spacing w:lineRule="auto" w:line="276" w:before="120" w:after="120"/>
        <w:ind w:left="792" w:hanging="574"/>
        <w:contextualSpacing/>
        <w:jc w:val="both"/>
        <w:rPr>
          <w:rFonts w:cs="Arial"/>
          <w:color w:val="000000" w:themeColor="text1"/>
          <w:szCs w:val="20"/>
        </w:rPr>
      </w:pPr>
      <w:r>
        <w:rPr>
          <w:rFonts w:cs="Arial"/>
          <w:color w:val="000000" w:themeColor="text1"/>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ListParagraph"/>
        <w:numPr>
          <w:ilvl w:val="1"/>
          <w:numId w:val="1"/>
        </w:numPr>
        <w:spacing w:lineRule="auto" w:line="276" w:before="120" w:after="120"/>
        <w:ind w:left="792" w:hanging="574"/>
        <w:contextualSpacing/>
        <w:jc w:val="both"/>
        <w:rPr>
          <w:rFonts w:cs="Arial"/>
          <w:color w:val="000000" w:themeColor="text1"/>
          <w:szCs w:val="20"/>
        </w:rPr>
      </w:pPr>
      <w:r>
        <w:rPr>
          <w:rFonts w:cs="Arial"/>
          <w:color w:val="000000" w:themeColor="text1"/>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1"/>
        </w:numPr>
        <w:spacing w:lineRule="auto" w:line="276" w:before="120" w:after="120"/>
        <w:ind w:left="792" w:hanging="574"/>
        <w:contextualSpacing/>
        <w:jc w:val="both"/>
        <w:rPr>
          <w:rFonts w:cs="Arial"/>
          <w:b/>
          <w:b/>
          <w:bCs/>
          <w:szCs w:val="20"/>
        </w:rPr>
      </w:pPr>
      <w:r>
        <w:rPr>
          <w:rFonts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Quote"/>
        <w:rPr>
          <w:rFonts w:cs="Arial"/>
          <w:color w:val="7030A0"/>
          <w:szCs w:val="20"/>
        </w:rPr>
      </w:pPr>
      <w:r>
        <w:rPr>
          <w:rFonts w:cs="Arial"/>
          <w:b/>
          <w:color w:val="auto"/>
          <w:szCs w:val="20"/>
        </w:rPr>
        <w:t xml:space="preserve">Nota Explicativa: </w:t>
      </w:r>
      <w:r>
        <w:rPr>
          <w:rFonts w:cs="Arial"/>
          <w:szCs w:val="20"/>
        </w:rPr>
        <w:t>A apresentação do Certificado de Condição de Microempreendedor Individual – CCMEI supre as exigências de inscrição nos cadastros fiscais, na medida em que essas informações constam no próprio Certificado.</w:t>
      </w:r>
    </w:p>
    <w:p>
      <w:pPr>
        <w:pStyle w:val="ListParagraph"/>
        <w:numPr>
          <w:ilvl w:val="1"/>
          <w:numId w:val="1"/>
        </w:numPr>
        <w:spacing w:lineRule="auto" w:line="276" w:before="120" w:after="120"/>
        <w:ind w:left="792" w:hanging="574"/>
        <w:contextualSpacing/>
        <w:jc w:val="both"/>
        <w:rPr>
          <w:rFonts w:cs="Arial"/>
          <w:i/>
          <w:i/>
          <w:color w:val="FF0000"/>
          <w:szCs w:val="20"/>
        </w:rPr>
      </w:pPr>
      <w:r>
        <w:rPr>
          <w:rFonts w:cs="Arial"/>
          <w:i/>
          <w:color w:val="FF0000"/>
          <w:szCs w:val="20"/>
        </w:rPr>
        <w:t>O fornecedor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pPr>
        <w:pStyle w:val="ListParagraph"/>
        <w:numPr>
          <w:ilvl w:val="2"/>
          <w:numId w:val="1"/>
        </w:numPr>
        <w:spacing w:lineRule="auto" w:line="276" w:before="120" w:after="120"/>
        <w:ind w:left="792" w:hanging="0"/>
        <w:contextualSpacing/>
        <w:jc w:val="both"/>
        <w:rPr>
          <w:rFonts w:cs="Arial"/>
          <w:i/>
          <w:i/>
          <w:color w:val="FF0000"/>
          <w:szCs w:val="20"/>
        </w:rPr>
      </w:pPr>
      <w:r>
        <w:rPr>
          <w:rFonts w:cs="Arial"/>
          <w:i/>
          <w:color w:val="FF0000"/>
          <w:szCs w:val="20"/>
        </w:rPr>
        <w:t>Não havendo a comprovação cumulativa dos requisitos de habilitação, a inabilitação recairá sobre o(s) item(ns) de menor(es) valor(es) cuja retirada(s) seja(m) suficiente(s) para a habilitação do fornecedor nos remanescentes.</w:t>
      </w:r>
    </w:p>
    <w:p>
      <w:pPr>
        <w:pStyle w:val="Quote"/>
        <w:spacing w:lineRule="auto" w:line="276"/>
        <w:rPr>
          <w:rFonts w:cs="Arial"/>
          <w:szCs w:val="20"/>
        </w:rPr>
      </w:pPr>
      <w:r>
        <w:rPr>
          <w:rFonts w:cs="Arial"/>
          <w:b/>
          <w:szCs w:val="20"/>
        </w:rPr>
        <w:t>Nota explicativa:</w:t>
      </w:r>
      <w:r>
        <w:rPr>
          <w:rFonts w:cs="Arial"/>
          <w:szCs w:val="20"/>
        </w:rPr>
        <w:t xml:space="preserve"> </w:t>
      </w:r>
      <w:r>
        <w:rPr>
          <w:rFonts w:cs="Arial"/>
          <w:szCs w:val="20"/>
          <w:shd w:fill="auto" w:val="clear"/>
        </w:rPr>
        <w:t xml:space="preserve">O subitem acima só se aplica nas dispensas por itens, </w:t>
      </w:r>
      <w:r>
        <w:rPr>
          <w:rFonts w:cs="Arial"/>
          <w:szCs w:val="20"/>
        </w:rPr>
        <w:t>e desde que o Aviso  de Contratação Direta exija comprovação de capital mínimo ou patrimônio líquido, para fins de qualificação econômico-financeira, ou comprovação de aptidão, para fins de qualificação técnica.</w:t>
      </w:r>
    </w:p>
    <w:p>
      <w:pPr>
        <w:pStyle w:val="Quote"/>
        <w:spacing w:lineRule="auto" w:line="276"/>
        <w:rPr>
          <w:rFonts w:cs="Arial"/>
          <w:szCs w:val="20"/>
        </w:rPr>
      </w:pPr>
      <w:r>
        <w:rPr>
          <w:rFonts w:cs="Arial"/>
          <w:szCs w:val="20"/>
        </w:rPr>
        <w:t>Na dispensa por itens, as exigências de habilitação (especialmente qualificação econômico-financeira e técnica) devem ser compatíveis e proporcionais ao vulto e à complexidade de cada item. Não se pode exigir do fornecedor que concorre em apenas um item requisitos de qualificação econômico-financeira ou técnica correspondentes ao objeto da dispensa como um todo.</w:t>
      </w:r>
    </w:p>
    <w:p>
      <w:pPr>
        <w:pStyle w:val="Quote"/>
        <w:spacing w:lineRule="auto" w:line="276"/>
        <w:rPr>
          <w:rFonts w:cs="Arial"/>
          <w:szCs w:val="20"/>
        </w:rPr>
      </w:pPr>
      <w:r>
        <w:rPr>
          <w:rFonts w:cs="Arial"/>
          <w:szCs w:val="20"/>
        </w:rPr>
        <w:t xml:space="preserve">Todavia, quando o fornecedor concorre em mais de um item, compromete-se a executar concomitantemente as diversas contratações que poderão advir, de modo que, nessa hipótese, os requisitos de habilitação devem ser cumulativos, mas apenas exigíveis em relação aos itens que o fornecedor efetivamente venceu, e não apenas concorreu. </w:t>
      </w:r>
    </w:p>
    <w:p>
      <w:pPr>
        <w:pStyle w:val="Quote"/>
        <w:spacing w:lineRule="auto" w:line="276"/>
        <w:rPr>
          <w:rFonts w:cs="Arial"/>
        </w:rPr>
      </w:pPr>
      <w:r>
        <w:rPr>
          <w:rFonts w:cs="Arial"/>
          <w:szCs w:val="20"/>
        </w:rPr>
        <w:t>No caso de a habilitação do fornecedor não atingir as exigências cumulativas para todos os itens (ou grupos) para os quais concorreu, então ele deverá ser inabilitado em algum ou alguns deles, e a escolha deve recair sobre aquele ou aqueles que representarem o menor gravame para o fornecedor, ou seja, os de menor valor, e só deve recair sobre os que forem suficientes para que a habilitação do fornecedor atinja as exigências cumulativas do item ou itens remanescentes.</w:t>
      </w:r>
    </w:p>
    <w:p>
      <w:pPr>
        <w:pStyle w:val="ListParagraph"/>
        <w:numPr>
          <w:ilvl w:val="1"/>
          <w:numId w:val="1"/>
        </w:numPr>
        <w:spacing w:lineRule="auto" w:line="276" w:before="120" w:after="120"/>
        <w:ind w:left="792" w:hanging="574"/>
        <w:contextualSpacing/>
        <w:jc w:val="both"/>
        <w:rPr>
          <w:rFonts w:cs="Arial"/>
          <w:bCs/>
          <w:szCs w:val="20"/>
        </w:rPr>
      </w:pPr>
      <w:r>
        <w:rPr>
          <w:rFonts w:cs="Arial"/>
          <w:bCs/>
          <w:szCs w:val="20"/>
        </w:rPr>
        <w:t xml:space="preserve">Havendo </w:t>
      </w:r>
      <w:r>
        <w:rPr>
          <w:rFonts w:cs="Arial"/>
          <w:iCs/>
          <w:lang w:eastAsia="en-US"/>
        </w:rPr>
        <w:t>necessidade</w:t>
      </w:r>
      <w:r>
        <w:rPr>
          <w:rFonts w:cs="Arial"/>
          <w:bCs/>
          <w:szCs w:val="20"/>
        </w:rPr>
        <w:t xml:space="preserve"> de analisar minuciosamente os documentos exigidos, a sessão será suspensa, sendo informada a nova data e horário para a sua continuidade.</w:t>
      </w:r>
    </w:p>
    <w:p>
      <w:pPr>
        <w:pStyle w:val="ListParagraph"/>
        <w:numPr>
          <w:ilvl w:val="1"/>
          <w:numId w:val="1"/>
        </w:numPr>
        <w:spacing w:lineRule="auto" w:line="276" w:before="120" w:after="120"/>
        <w:ind w:left="792" w:hanging="574"/>
        <w:contextualSpacing/>
        <w:jc w:val="both"/>
        <w:rPr>
          <w:rFonts w:cs="Arial"/>
          <w:color w:val="000000"/>
          <w:szCs w:val="20"/>
        </w:rPr>
      </w:pPr>
      <w:r>
        <w:rPr>
          <w:rFonts w:cs="Arial"/>
          <w:color w:val="000000"/>
          <w:szCs w:val="20"/>
        </w:rPr>
        <w:t xml:space="preserve">Será inabilitado o fornecedor que não comprovar sua habilitação, seja por não apresentar </w:t>
      </w:r>
      <w:r>
        <w:rPr>
          <w:rFonts w:cs="Arial"/>
          <w:iCs/>
          <w:lang w:eastAsia="en-US"/>
        </w:rPr>
        <w:t>quaisquer</w:t>
      </w:r>
      <w:r>
        <w:rPr>
          <w:rFonts w:cs="Arial"/>
          <w:color w:val="000000"/>
          <w:szCs w:val="20"/>
        </w:rPr>
        <w:t xml:space="preserve"> dos </w:t>
      </w:r>
      <w:r>
        <w:rPr>
          <w:rFonts w:cs="Arial"/>
          <w:bCs/>
          <w:szCs w:val="20"/>
        </w:rPr>
        <w:t>documentos</w:t>
      </w:r>
      <w:r>
        <w:rPr>
          <w:rFonts w:cs="Arial"/>
          <w:color w:val="000000"/>
          <w:szCs w:val="20"/>
        </w:rPr>
        <w:t xml:space="preserve"> exigidos, ou apresentá-los em desacordo com o estabelecido neste Aviso de Contratação Direta.</w:t>
      </w:r>
    </w:p>
    <w:p>
      <w:pPr>
        <w:pStyle w:val="ListParagraph"/>
        <w:numPr>
          <w:ilvl w:val="2"/>
          <w:numId w:val="1"/>
        </w:numPr>
        <w:spacing w:lineRule="auto" w:line="276" w:before="120" w:after="120"/>
        <w:contextualSpacing/>
        <w:jc w:val="both"/>
        <w:rPr>
          <w:rFonts w:cs="Arial"/>
          <w:color w:val="000000"/>
          <w:szCs w:val="20"/>
        </w:rPr>
      </w:pPr>
      <w:r>
        <w:rPr>
          <w:rFonts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ListParagraph"/>
        <w:numPr>
          <w:ilvl w:val="1"/>
          <w:numId w:val="1"/>
        </w:numPr>
        <w:spacing w:lineRule="auto" w:line="276" w:before="120" w:after="120"/>
        <w:ind w:left="792" w:hanging="574"/>
        <w:contextualSpacing/>
        <w:jc w:val="both"/>
        <w:rPr>
          <w:rFonts w:cs="Arial"/>
          <w:iCs/>
          <w:lang w:eastAsia="en-US"/>
        </w:rPr>
      </w:pPr>
      <w:r>
        <w:rPr>
          <w:rFonts w:cs="Arial"/>
          <w:iCs/>
          <w:lang w:eastAsia="en-US"/>
        </w:rPr>
        <w:t>Constatado o atendimento às exigências de habilitação, o fornecedor será habilitado</w:t>
      </w:r>
    </w:p>
    <w:p>
      <w:pPr>
        <w:pStyle w:val="PADRO"/>
        <w:keepNext w:val="false"/>
        <w:widowControl/>
        <w:numPr>
          <w:ilvl w:val="0"/>
          <w:numId w:val="1"/>
        </w:numPr>
        <w:shd w:val="clear" w:color="auto" w:fill="auto"/>
        <w:spacing w:before="120" w:after="120"/>
        <w:rPr>
          <w:rFonts w:ascii="Arial" w:hAnsi="Arial" w:cs="Arial"/>
          <w:b/>
          <w:b/>
        </w:rPr>
      </w:pPr>
      <w:r>
        <w:rPr>
          <w:rFonts w:cs="Arial" w:ascii="Arial" w:hAnsi="Arial"/>
          <w:b/>
        </w:rPr>
        <w:t>CONTRATAÇÃO</w:t>
      </w:r>
    </w:p>
    <w:p>
      <w:pPr>
        <w:pStyle w:val="Normal"/>
        <w:numPr>
          <w:ilvl w:val="1"/>
          <w:numId w:val="1"/>
        </w:numPr>
        <w:spacing w:lineRule="auto" w:line="276" w:before="120" w:after="120"/>
        <w:ind w:left="425" w:hanging="0"/>
        <w:jc w:val="both"/>
        <w:rPr>
          <w:rFonts w:eastAsia="Arial" w:cs="Arial"/>
          <w:color w:val="000000"/>
          <w:szCs w:val="20"/>
        </w:rPr>
      </w:pPr>
      <w:r>
        <w:rPr>
          <w:rFonts w:eastAsia="Arial" w:cs="Arial"/>
          <w:color w:val="000000"/>
          <w:szCs w:val="20"/>
        </w:rPr>
        <w:t>Após a homologação e adjudicação, caso se conclua pela contratação, será firmado Termo de Contrato ou emitido instrumento equivalente.</w:t>
      </w:r>
    </w:p>
    <w:p>
      <w:pPr>
        <w:pStyle w:val="Normal"/>
        <w:pBdr>
          <w:top w:val="single" w:sz="4" w:space="1" w:color="000000"/>
          <w:left w:val="single" w:sz="4" w:space="4" w:color="000000"/>
          <w:bottom w:val="single" w:sz="4" w:space="1" w:color="000000"/>
          <w:right w:val="single" w:sz="4" w:space="4" w:color="000000"/>
        </w:pBdr>
        <w:shd w:val="clear" w:color="auto" w:fill="FFFFCC"/>
        <w:spacing w:lineRule="auto" w:line="276" w:before="0" w:after="160"/>
        <w:jc w:val="both"/>
        <w:rPr>
          <w:rFonts w:eastAsia="Arial" w:cs="Arial"/>
          <w:i/>
          <w:i/>
          <w:color w:val="000000" w:themeColor="text1"/>
          <w:szCs w:val="20"/>
        </w:rPr>
      </w:pPr>
      <w:r>
        <w:rPr>
          <w:rFonts w:eastAsia="Arial" w:cs="Arial"/>
          <w:b/>
          <w:bCs/>
          <w:color w:val="000000" w:themeColor="text1"/>
          <w:szCs w:val="20"/>
        </w:rPr>
        <w:t>Nota</w:t>
      </w:r>
      <w:r>
        <w:rPr>
          <w:rFonts w:eastAsia="Arial" w:cs="Arial"/>
          <w:color w:val="000000" w:themeColor="text1"/>
          <w:szCs w:val="20"/>
        </w:rPr>
        <w:t xml:space="preserve"> </w:t>
      </w:r>
      <w:r>
        <w:rPr>
          <w:rFonts w:eastAsia="Arial" w:cs="Arial"/>
          <w:b/>
          <w:bCs/>
          <w:color w:val="000000" w:themeColor="text1"/>
          <w:szCs w:val="20"/>
        </w:rPr>
        <w:t>explicativa</w:t>
      </w:r>
      <w:r>
        <w:rPr>
          <w:rFonts w:eastAsia="Arial" w:cs="Arial"/>
          <w:i/>
          <w:color w:val="000000" w:themeColor="text1"/>
          <w:szCs w:val="20"/>
        </w:rPr>
        <w:t>: De acordo com o art. 95 da Lei nº 14.133/21, o termo de contrato é facultativo nas contratações fundadas no art. 75, incisos I e II (dispensa por valor) e no caso de compras com entrega imediata.</w:t>
      </w:r>
    </w:p>
    <w:p>
      <w:pPr>
        <w:pStyle w:val="Normal"/>
        <w:pBdr>
          <w:top w:val="single" w:sz="4" w:space="1" w:color="000000"/>
          <w:left w:val="single" w:sz="4" w:space="4" w:color="000000"/>
          <w:bottom w:val="single" w:sz="4" w:space="1" w:color="000000"/>
          <w:right w:val="single" w:sz="4" w:space="4" w:color="000000"/>
        </w:pBdr>
        <w:shd w:val="clear" w:color="auto" w:fill="FFFFCC"/>
        <w:spacing w:lineRule="auto" w:line="276" w:before="0" w:after="160"/>
        <w:jc w:val="both"/>
        <w:rPr>
          <w:rFonts w:eastAsia="Arial" w:cs="Arial"/>
          <w:i/>
          <w:i/>
          <w:color w:val="000000"/>
          <w:szCs w:val="20"/>
        </w:rPr>
      </w:pPr>
      <w:r>
        <w:rPr>
          <w:rFonts w:eastAsia="Arial" w:cs="Arial"/>
          <w:i/>
          <w:color w:val="000000"/>
          <w:szCs w:val="20"/>
        </w:rPr>
        <w:t>Assim, caso não haja termo de contrato, este poderá ser substituído por outros instrumentos hábeis, como carta contrato, nota de empenho de despesa ou autorização de compra, nos quais deve constar expressamente a vinculação à proposta e aos termos do aviso de dispensa. A redação do presente tópico procura abarcar ambas as hipóteses, sem prejuízo de eventuais ajustes que se façam necessários.</w:t>
      </w:r>
    </w:p>
    <w:p>
      <w:pPr>
        <w:pStyle w:val="Normal"/>
        <w:numPr>
          <w:ilvl w:val="1"/>
          <w:numId w:val="1"/>
        </w:numPr>
        <w:spacing w:lineRule="auto" w:line="276" w:before="120" w:after="120"/>
        <w:ind w:left="425" w:hanging="0"/>
        <w:jc w:val="both"/>
        <w:rPr>
          <w:rFonts w:eastAsia="Arial" w:cs="Arial"/>
          <w:color w:val="000000"/>
          <w:szCs w:val="20"/>
        </w:rPr>
      </w:pPr>
      <w:r>
        <w:rPr>
          <w:rFonts w:eastAsia="Arial" w:cs="Arial"/>
          <w:color w:val="000000"/>
          <w:szCs w:val="20"/>
        </w:rPr>
        <w:t xml:space="preserve">O adjudicatário terá o prazo de </w:t>
      </w:r>
      <w:r>
        <w:rPr>
          <w:rFonts w:eastAsia="Arial" w:cs="Arial"/>
          <w:color w:val="FF0000"/>
          <w:szCs w:val="20"/>
        </w:rPr>
        <w:t>.........(........) dias úteis</w:t>
      </w:r>
      <w:r>
        <w:rPr>
          <w:rFonts w:eastAsia="Arial" w:cs="Arial"/>
          <w:color w:val="000000"/>
          <w:szCs w:val="20"/>
        </w:rPr>
        <w:t xml:space="preserve">, contados a partir da data de sua convocação, para </w:t>
      </w:r>
      <w:r>
        <w:rPr>
          <w:rFonts w:eastAsia="Arial" w:cs="Arial"/>
          <w:color w:val="FF0000"/>
          <w:szCs w:val="20"/>
        </w:rPr>
        <w:t>assinar o Termo de Contrato ou aceitar instrumento equivalente, conforme o caso (</w:t>
      </w:r>
      <w:r>
        <w:rPr>
          <w:rFonts w:eastAsia="Arial" w:cs="Arial"/>
          <w:color w:val="FF0000"/>
          <w:szCs w:val="20"/>
          <w:shd w:fill="FFFF00" w:val="clear"/>
        </w:rPr>
        <w:t>Nota de Empenho</w:t>
      </w:r>
      <w:r>
        <w:rPr>
          <w:rFonts w:eastAsia="Arial" w:cs="Arial"/>
          <w:color w:val="FF0000"/>
          <w:szCs w:val="20"/>
        </w:rPr>
        <w:t xml:space="preserve">/Carta Contrato/Autorização), </w:t>
      </w:r>
      <w:r>
        <w:rPr>
          <w:rFonts w:eastAsia="Arial" w:cs="Arial"/>
          <w:color w:val="000000"/>
          <w:szCs w:val="20"/>
        </w:rPr>
        <w:t xml:space="preserve">sob pena de decair do direito à contratação, sem prejuízo das sanções previstas neste Aviso de Contratação Direta. </w:t>
      </w:r>
    </w:p>
    <w:p>
      <w:pPr>
        <w:pStyle w:val="Normal"/>
        <w:numPr>
          <w:ilvl w:val="2"/>
          <w:numId w:val="1"/>
        </w:numPr>
        <w:spacing w:lineRule="auto" w:line="276" w:before="120" w:after="120"/>
        <w:jc w:val="both"/>
        <w:rPr>
          <w:rFonts w:eastAsia="Arial" w:cs="Arial"/>
          <w:i/>
          <w:i/>
          <w:color w:val="FF0000"/>
          <w:szCs w:val="20"/>
        </w:rPr>
      </w:pPr>
      <w:r>
        <w:rPr>
          <w:rFonts w:eastAsia="Arial" w:cs="Arial"/>
          <w:i/>
          <w:color w:val="FF0000"/>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 (.....) dias, a contar da data de seu recebimento. </w:t>
      </w:r>
    </w:p>
    <w:p>
      <w:pPr>
        <w:pStyle w:val="Normal"/>
        <w:numPr>
          <w:ilvl w:val="2"/>
          <w:numId w:val="1"/>
        </w:numPr>
        <w:spacing w:lineRule="auto" w:line="276" w:before="120" w:after="120"/>
        <w:jc w:val="both"/>
        <w:rPr>
          <w:rFonts w:eastAsia="Arial" w:cs="Arial"/>
          <w:color w:val="000000"/>
          <w:szCs w:val="20"/>
        </w:rPr>
      </w:pPr>
      <w:r>
        <w:rPr>
          <w:rFonts w:eastAsia="Arial" w:cs="Arial"/>
          <w:color w:val="000000"/>
          <w:szCs w:val="20"/>
        </w:rPr>
        <w:t xml:space="preserve">O prazo previsto para assinatura do contrato ou aceitação da nota de empenho ou instrumento equivalente poderá ser prorrogado </w:t>
      </w:r>
      <w:r>
        <w:rPr>
          <w:rFonts w:cs="Times New Roman"/>
          <w:bCs/>
        </w:rPr>
        <w:t>1 (uma) vez</w:t>
      </w:r>
      <w:r>
        <w:rPr>
          <w:rFonts w:eastAsia="Arial" w:cs="Arial"/>
          <w:szCs w:val="20"/>
        </w:rPr>
        <w:t xml:space="preserve">, </w:t>
      </w:r>
      <w:r>
        <w:rPr>
          <w:rFonts w:eastAsia="Arial" w:cs="Arial"/>
          <w:color w:val="000000"/>
          <w:szCs w:val="20"/>
        </w:rPr>
        <w:t>por igual período, por solicitação justificada do adjudicatário e aceita pela Administração.</w:t>
      </w:r>
    </w:p>
    <w:p>
      <w:pPr>
        <w:pStyle w:val="Normal"/>
        <w:numPr>
          <w:ilvl w:val="1"/>
          <w:numId w:val="1"/>
        </w:numPr>
        <w:spacing w:lineRule="auto" w:line="276" w:before="120" w:after="120"/>
        <w:ind w:left="425" w:hanging="0"/>
        <w:jc w:val="both"/>
        <w:rPr>
          <w:rFonts w:eastAsia="Arial" w:cs="Arial"/>
          <w:i/>
          <w:i/>
          <w:color w:val="FF0000"/>
          <w:szCs w:val="20"/>
        </w:rPr>
      </w:pPr>
      <w:r>
        <w:rPr>
          <w:rFonts w:eastAsia="Arial" w:cs="Arial"/>
          <w:i/>
          <w:color w:val="FF0000"/>
          <w:szCs w:val="20"/>
        </w:rPr>
        <w:t>O Aceite da Nota de Empenho ou do instrumento equivalente, emitida à empresa adjudicada, implica no reconhecimento de que:</w:t>
      </w:r>
    </w:p>
    <w:p>
      <w:pPr>
        <w:pStyle w:val="Normal"/>
        <w:numPr>
          <w:ilvl w:val="2"/>
          <w:numId w:val="1"/>
        </w:numPr>
        <w:spacing w:lineRule="auto" w:line="276" w:before="120" w:after="120"/>
        <w:jc w:val="both"/>
        <w:rPr>
          <w:rFonts w:eastAsia="Arial" w:cs="Arial"/>
          <w:i/>
          <w:i/>
          <w:color w:val="FF0000"/>
          <w:szCs w:val="20"/>
        </w:rPr>
      </w:pPr>
      <w:r>
        <w:rPr>
          <w:rFonts w:eastAsia="Arial" w:cs="Arial"/>
          <w:i/>
          <w:color w:val="FF0000"/>
          <w:szCs w:val="20"/>
        </w:rPr>
        <w:t>referida Nota está substituindo o contrato, aplicando-se à relação de negócios ali estabelecida as disposições da Lei nº 14.133, de 2021;</w:t>
      </w:r>
    </w:p>
    <w:p>
      <w:pPr>
        <w:pStyle w:val="Normal"/>
        <w:numPr>
          <w:ilvl w:val="2"/>
          <w:numId w:val="1"/>
        </w:numPr>
        <w:spacing w:lineRule="auto" w:line="276" w:before="120" w:after="120"/>
        <w:jc w:val="both"/>
        <w:rPr>
          <w:rFonts w:eastAsia="Arial" w:cs="Arial"/>
          <w:i/>
          <w:i/>
          <w:color w:val="FF0000"/>
          <w:szCs w:val="20"/>
        </w:rPr>
      </w:pPr>
      <w:r>
        <w:rPr>
          <w:rFonts w:eastAsia="Arial" w:cs="Arial"/>
          <w:i/>
          <w:color w:val="FF0000"/>
          <w:szCs w:val="20"/>
        </w:rPr>
        <w:t>a contratada se vincula à sua proposta e às previsões contidas no Aviso de Contratação Direta e seus anexos;</w:t>
      </w:r>
    </w:p>
    <w:p>
      <w:pPr>
        <w:pStyle w:val="Normal"/>
        <w:numPr>
          <w:ilvl w:val="2"/>
          <w:numId w:val="1"/>
        </w:numPr>
        <w:spacing w:lineRule="auto" w:line="276" w:before="120" w:after="120"/>
        <w:jc w:val="both"/>
        <w:rPr>
          <w:rFonts w:eastAsia="Arial" w:cs="Arial"/>
          <w:i/>
          <w:i/>
          <w:color w:val="FF0000"/>
          <w:szCs w:val="20"/>
        </w:rPr>
      </w:pPr>
      <w:r>
        <w:rPr>
          <w:rFonts w:eastAsia="Arial" w:cs="Arial"/>
          <w:i/>
          <w:color w:val="FF0000"/>
          <w:szCs w:val="20"/>
        </w:rPr>
        <w:t>a contratada reconhece que as hipóteses de rescisão são aquelas previstas nos artigos 137 e 138 da Lei nº 14.133/21 e reconhece os direitos da Administração previstos nos artigos 137 a 139 da mesma Lei.</w:t>
      </w:r>
    </w:p>
    <w:p>
      <w:pPr>
        <w:pStyle w:val="Normal"/>
        <w:pBdr>
          <w:top w:val="single" w:sz="4" w:space="1" w:color="000000"/>
          <w:left w:val="single" w:sz="4" w:space="4" w:color="000000"/>
          <w:bottom w:val="single" w:sz="4" w:space="1" w:color="000000"/>
          <w:right w:val="single" w:sz="4" w:space="4" w:color="000000"/>
        </w:pBdr>
        <w:shd w:val="clear" w:color="auto" w:fill="FFFFCC"/>
        <w:spacing w:lineRule="auto" w:line="276" w:before="0" w:after="160"/>
        <w:jc w:val="both"/>
        <w:rPr>
          <w:rFonts w:eastAsia="Arial" w:cs="Arial"/>
          <w:i/>
          <w:i/>
          <w:color w:val="000000"/>
          <w:szCs w:val="20"/>
        </w:rPr>
      </w:pPr>
      <w:r>
        <w:rPr>
          <w:rFonts w:eastAsia="Arial" w:cs="Arial"/>
          <w:b/>
          <w:i/>
          <w:color w:val="000000"/>
          <w:szCs w:val="20"/>
        </w:rPr>
        <w:t xml:space="preserve">Nota Explicativa: </w:t>
      </w:r>
      <w:r>
        <w:rPr>
          <w:rFonts w:eastAsia="Arial" w:cs="Arial"/>
          <w:i/>
          <w:color w:val="000000"/>
          <w:szCs w:val="20"/>
        </w:rPr>
        <w:t>Utilizar o subitem acima no caso de haver o uso de nota de empenho ou instrumento assemelhado</w:t>
      </w:r>
    </w:p>
    <w:p>
      <w:pPr>
        <w:pStyle w:val="Normal"/>
        <w:numPr>
          <w:ilvl w:val="1"/>
          <w:numId w:val="1"/>
        </w:numPr>
        <w:spacing w:lineRule="auto" w:line="276" w:before="120" w:after="120"/>
        <w:ind w:left="425" w:hanging="0"/>
        <w:jc w:val="both"/>
        <w:rPr>
          <w:rFonts w:eastAsia="Arial" w:cs="Arial"/>
          <w:color w:val="000000"/>
          <w:szCs w:val="20"/>
        </w:rPr>
      </w:pPr>
      <w:r>
        <w:rPr>
          <w:rFonts w:eastAsia="Arial" w:cs="Arial"/>
          <w:color w:val="000000"/>
          <w:szCs w:val="20"/>
        </w:rPr>
        <w:t xml:space="preserve">O prazo de vigência da contratação é de </w:t>
      </w:r>
      <w:r>
        <w:rPr>
          <w:rFonts w:eastAsia="Arial" w:cs="Arial"/>
          <w:color w:val="FF0000"/>
          <w:szCs w:val="20"/>
        </w:rPr>
        <w:t xml:space="preserve">.............................. </w:t>
      </w:r>
      <w:r>
        <w:rPr>
          <w:rFonts w:eastAsia="Arial" w:cs="Arial"/>
          <w:color w:val="000000"/>
          <w:szCs w:val="20"/>
        </w:rPr>
        <w:t xml:space="preserve">prorrogável conforme previsão nos anexos a este Aviso de Contratação Direta. </w:t>
      </w:r>
    </w:p>
    <w:p>
      <w:pPr>
        <w:pStyle w:val="Normal"/>
        <w:numPr>
          <w:ilvl w:val="1"/>
          <w:numId w:val="1"/>
        </w:numPr>
        <w:spacing w:lineRule="auto" w:line="276" w:before="120" w:after="120"/>
        <w:ind w:left="425" w:hanging="0"/>
        <w:jc w:val="both"/>
        <w:rPr>
          <w:rFonts w:eastAsia="Arial" w:cs="Arial"/>
          <w:color w:val="000000"/>
          <w:szCs w:val="20"/>
        </w:rPr>
      </w:pPr>
      <w:r>
        <w:rPr>
          <w:rFonts w:cs="Arial"/>
          <w:color w:val="000000"/>
          <w:szCs w:val="20"/>
        </w:rPr>
        <w:t>Na assinatura do contrato ou do instrumento equivalente será exigida a comprovação das condições de habilitação e contratação consignadas neste aviso, que deverão ser mantidas pelo fornecedor durante a vigência do contrato.</w:t>
      </w:r>
    </w:p>
    <w:p>
      <w:pPr>
        <w:pStyle w:val="Normal"/>
        <w:pBdr>
          <w:top w:val="single" w:sz="4" w:space="1" w:color="000000"/>
          <w:left w:val="single" w:sz="4" w:space="4" w:color="000000"/>
          <w:bottom w:val="single" w:sz="4" w:space="1" w:color="000000"/>
          <w:right w:val="single" w:sz="4" w:space="4" w:color="000000"/>
        </w:pBdr>
        <w:shd w:val="clear" w:color="auto" w:fill="FFFFCC"/>
        <w:spacing w:lineRule="auto" w:line="276" w:before="0" w:after="160"/>
        <w:jc w:val="both"/>
        <w:rPr>
          <w:rFonts w:eastAsia="Arial" w:cs="Arial"/>
          <w:color w:val="000000"/>
          <w:szCs w:val="20"/>
        </w:rPr>
      </w:pPr>
      <w:r>
        <w:rPr>
          <w:rFonts w:eastAsia="Calibri" w:cs="Arial"/>
          <w:b/>
          <w:szCs w:val="20"/>
          <w:lang w:eastAsia="en-US"/>
        </w:rPr>
        <w:t>Nota</w:t>
      </w:r>
      <w:r>
        <w:rPr>
          <w:rFonts w:eastAsia="Arial" w:cs="Arial"/>
          <w:color w:val="000000"/>
          <w:szCs w:val="20"/>
        </w:rPr>
        <w:t xml:space="preserve"> </w:t>
      </w:r>
      <w:r>
        <w:rPr>
          <w:rFonts w:eastAsia="Calibri" w:cs="Arial"/>
          <w:b/>
          <w:szCs w:val="20"/>
          <w:lang w:eastAsia="en-US"/>
        </w:rPr>
        <w:t>explicativa</w:t>
      </w:r>
      <w:r>
        <w:rPr>
          <w:rFonts w:eastAsia="Arial" w:cs="Arial"/>
          <w:color w:val="000000"/>
          <w:szCs w:val="20"/>
        </w:rPr>
        <w:t>: Nesse momento, deve haver a checagem da manutenção de todas as condições de habilitação, não se limitando apenas à consulta ao SICAF.</w:t>
      </w:r>
    </w:p>
    <w:p>
      <w:pPr>
        <w:pStyle w:val="PADRO"/>
        <w:keepNext w:val="false"/>
        <w:widowControl/>
        <w:numPr>
          <w:ilvl w:val="0"/>
          <w:numId w:val="1"/>
        </w:numPr>
        <w:shd w:val="clear" w:color="auto" w:fill="auto"/>
        <w:spacing w:before="120" w:after="120"/>
        <w:rPr>
          <w:rFonts w:ascii="Arial" w:hAnsi="Arial" w:cs="Arial"/>
          <w:b/>
          <w:b/>
        </w:rPr>
      </w:pPr>
      <w:r>
        <w:rPr>
          <w:rFonts w:cs="Arial" w:ascii="Arial" w:hAnsi="Arial"/>
          <w:b/>
        </w:rPr>
        <w:t>SANÇÕES</w:t>
      </w:r>
    </w:p>
    <w:p>
      <w:pPr>
        <w:pStyle w:val="Normal"/>
        <w:numPr>
          <w:ilvl w:val="1"/>
          <w:numId w:val="1"/>
        </w:numPr>
        <w:spacing w:lineRule="auto" w:line="276" w:before="120" w:after="120"/>
        <w:ind w:left="425" w:hanging="0"/>
        <w:jc w:val="both"/>
        <w:rPr>
          <w:rFonts w:cs="Arial"/>
          <w:b/>
          <w:b/>
        </w:rPr>
      </w:pPr>
      <w:r>
        <w:rPr>
          <w:rFonts w:cs="Arial"/>
        </w:rPr>
        <w:t xml:space="preserve">Comete infração administrativa o fornecedor que cometer quaisquer das infrações previstas no art. 155 da Lei nº 14.133, de 2021, quais sejam: </w:t>
      </w:r>
    </w:p>
    <w:p>
      <w:pPr>
        <w:pStyle w:val="Normal"/>
        <w:numPr>
          <w:ilvl w:val="2"/>
          <w:numId w:val="1"/>
        </w:numPr>
        <w:spacing w:lineRule="auto" w:line="276" w:before="120" w:after="120"/>
        <w:jc w:val="both"/>
        <w:rPr>
          <w:rFonts w:cs="Arial"/>
        </w:rPr>
      </w:pPr>
      <w:r>
        <w:rPr>
          <w:rFonts w:cs="Arial"/>
          <w:color w:val="000000"/>
          <w:szCs w:val="20"/>
        </w:rPr>
        <w:t>dar causa à inexecução parcial do contrato</w:t>
      </w:r>
      <w:r>
        <w:rPr>
          <w:rFonts w:cs="Arial"/>
        </w:rPr>
        <w:t>;</w:t>
      </w:r>
    </w:p>
    <w:p>
      <w:pPr>
        <w:pStyle w:val="Normal"/>
        <w:numPr>
          <w:ilvl w:val="2"/>
          <w:numId w:val="1"/>
        </w:numPr>
        <w:spacing w:lineRule="auto" w:line="276" w:before="120" w:after="120"/>
        <w:jc w:val="both"/>
        <w:rPr>
          <w:rFonts w:cs="Arial"/>
        </w:rPr>
      </w:pPr>
      <w:r>
        <w:rPr>
          <w:rFonts w:cs="Arial"/>
          <w:color w:val="000000"/>
          <w:szCs w:val="20"/>
        </w:rPr>
        <w:t>dar causa à inexecução parcial do contrato que cause grave dano à Administração, ao funcionamento dos serviços públicos ou ao interesse coletivo;</w:t>
      </w:r>
    </w:p>
    <w:p>
      <w:pPr>
        <w:pStyle w:val="Normal"/>
        <w:numPr>
          <w:ilvl w:val="2"/>
          <w:numId w:val="1"/>
        </w:numPr>
        <w:spacing w:lineRule="auto" w:line="276" w:before="120" w:after="120"/>
        <w:jc w:val="both"/>
        <w:rPr>
          <w:rFonts w:cs="Arial"/>
        </w:rPr>
      </w:pPr>
      <w:r>
        <w:rPr>
          <w:rFonts w:cs="Arial"/>
          <w:color w:val="000000"/>
          <w:szCs w:val="20"/>
        </w:rPr>
        <w:t>dar causa à inexecução total do contrato;</w:t>
      </w:r>
    </w:p>
    <w:p>
      <w:pPr>
        <w:pStyle w:val="Normal"/>
        <w:numPr>
          <w:ilvl w:val="2"/>
          <w:numId w:val="1"/>
        </w:numPr>
        <w:spacing w:lineRule="auto" w:line="276" w:before="120" w:after="120"/>
        <w:jc w:val="both"/>
        <w:rPr>
          <w:rFonts w:cs="Arial"/>
        </w:rPr>
      </w:pPr>
      <w:r>
        <w:rPr>
          <w:rFonts w:cs="Arial"/>
          <w:color w:val="000000"/>
          <w:szCs w:val="20"/>
        </w:rPr>
        <w:t>deixar de entregar a documentação exigida para o certame;</w:t>
      </w:r>
    </w:p>
    <w:p>
      <w:pPr>
        <w:pStyle w:val="Normal"/>
        <w:numPr>
          <w:ilvl w:val="2"/>
          <w:numId w:val="1"/>
        </w:numPr>
        <w:spacing w:lineRule="auto" w:line="276" w:before="120" w:after="120"/>
        <w:jc w:val="both"/>
        <w:rPr>
          <w:rFonts w:cs="Arial"/>
        </w:rPr>
      </w:pPr>
      <w:r>
        <w:rPr>
          <w:rFonts w:cs="Arial"/>
          <w:color w:val="000000"/>
          <w:szCs w:val="20"/>
        </w:rPr>
        <w:t>não manter a proposta, salvo em decorrência de fato superveniente devidamente justificado;</w:t>
      </w:r>
    </w:p>
    <w:p>
      <w:pPr>
        <w:pStyle w:val="Normal"/>
        <w:numPr>
          <w:ilvl w:val="2"/>
          <w:numId w:val="1"/>
        </w:numPr>
        <w:spacing w:lineRule="auto" w:line="276" w:before="120" w:after="120"/>
        <w:jc w:val="both"/>
        <w:rPr>
          <w:rFonts w:cs="Arial"/>
        </w:rPr>
      </w:pPr>
      <w:r>
        <w:rPr>
          <w:rFonts w:cs="Arial"/>
          <w:color w:val="000000"/>
          <w:szCs w:val="20"/>
        </w:rPr>
        <w:t>não celebrar o contrato ou não entregar a documentação exigida para a contratação, quando convocado dentro do prazo de validade de sua proposta;</w:t>
      </w:r>
    </w:p>
    <w:p>
      <w:pPr>
        <w:pStyle w:val="Normal"/>
        <w:numPr>
          <w:ilvl w:val="2"/>
          <w:numId w:val="1"/>
        </w:numPr>
        <w:spacing w:lineRule="auto" w:line="276" w:before="120" w:after="120"/>
        <w:jc w:val="both"/>
        <w:rPr>
          <w:rFonts w:cs="Arial"/>
        </w:rPr>
      </w:pPr>
      <w:r>
        <w:rPr>
          <w:rFonts w:cs="Arial"/>
          <w:color w:val="000000"/>
          <w:szCs w:val="20"/>
        </w:rPr>
        <w:t> </w:t>
      </w:r>
      <w:r>
        <w:rPr>
          <w:rFonts w:cs="Arial"/>
          <w:color w:val="000000"/>
          <w:szCs w:val="20"/>
        </w:rPr>
        <w:t>ensejar o retardamento da execução ou da entrega do objeto da licitação sem motivo justificado;</w:t>
      </w:r>
    </w:p>
    <w:p>
      <w:pPr>
        <w:pStyle w:val="Normal"/>
        <w:numPr>
          <w:ilvl w:val="2"/>
          <w:numId w:val="1"/>
        </w:numPr>
        <w:spacing w:lineRule="auto" w:line="276" w:before="120" w:after="120"/>
        <w:jc w:val="both"/>
        <w:rPr>
          <w:rFonts w:cs="Arial"/>
        </w:rPr>
      </w:pPr>
      <w:r>
        <w:rPr>
          <w:rFonts w:cs="Arial"/>
          <w:color w:val="000000"/>
          <w:szCs w:val="20"/>
        </w:rPr>
        <w:t>apresentar declaração ou documentação falsa exigida para o certame ou prestar declaração falsa durante a dispensa eletrônica ou a execução do contrato;</w:t>
      </w:r>
    </w:p>
    <w:p>
      <w:pPr>
        <w:pStyle w:val="Normal"/>
        <w:numPr>
          <w:ilvl w:val="2"/>
          <w:numId w:val="1"/>
        </w:numPr>
        <w:spacing w:lineRule="auto" w:line="276" w:before="120" w:after="120"/>
        <w:jc w:val="both"/>
        <w:rPr>
          <w:rFonts w:cs="Arial"/>
        </w:rPr>
      </w:pPr>
      <w:r>
        <w:rPr>
          <w:rFonts w:cs="Arial"/>
          <w:color w:val="000000"/>
          <w:szCs w:val="20"/>
        </w:rPr>
        <w:t>fraudar a dispensa eletrônica ou praticar ato fraudulento na execução do contrato;</w:t>
      </w:r>
    </w:p>
    <w:p>
      <w:pPr>
        <w:pStyle w:val="Normal"/>
        <w:numPr>
          <w:ilvl w:val="2"/>
          <w:numId w:val="1"/>
        </w:numPr>
        <w:spacing w:lineRule="auto" w:line="276" w:before="120" w:after="120"/>
        <w:jc w:val="both"/>
        <w:rPr>
          <w:rFonts w:cs="Arial"/>
        </w:rPr>
      </w:pPr>
      <w:r>
        <w:rPr>
          <w:rFonts w:cs="Arial"/>
          <w:color w:val="000000"/>
          <w:szCs w:val="20"/>
        </w:rPr>
        <w:t> </w:t>
      </w:r>
      <w:r>
        <w:rPr>
          <w:rFonts w:cs="Arial"/>
          <w:color w:val="000000"/>
          <w:szCs w:val="20"/>
        </w:rPr>
        <w:t>comportar-se de modo inidôneo ou cometer fraude de qualquer natureza;</w:t>
      </w:r>
    </w:p>
    <w:p>
      <w:pPr>
        <w:pStyle w:val="ListParagraph"/>
        <w:numPr>
          <w:ilvl w:val="3"/>
          <w:numId w:val="1"/>
        </w:numPr>
        <w:spacing w:lineRule="auto" w:line="276" w:before="120" w:after="120"/>
        <w:contextualSpacing/>
        <w:jc w:val="both"/>
        <w:rPr>
          <w:rFonts w:cs="Arial"/>
        </w:rPr>
      </w:pPr>
      <w:r>
        <w:rPr>
          <w:rFonts w:cs="Arial"/>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1"/>
        </w:numPr>
        <w:spacing w:lineRule="auto" w:line="276" w:before="120" w:after="120"/>
        <w:jc w:val="both"/>
        <w:rPr>
          <w:rFonts w:cs="Arial"/>
        </w:rPr>
      </w:pPr>
      <w:r>
        <w:rPr>
          <w:rFonts w:cs="Arial"/>
          <w:color w:val="000000"/>
          <w:szCs w:val="20"/>
        </w:rPr>
        <w:t> </w:t>
      </w:r>
      <w:r>
        <w:rPr>
          <w:rFonts w:cs="Arial"/>
          <w:color w:val="000000"/>
          <w:szCs w:val="20"/>
        </w:rPr>
        <w:t>praticar atos ilícitos com vistas a frustrar os objetivos deste certame.</w:t>
      </w:r>
    </w:p>
    <w:p>
      <w:pPr>
        <w:pStyle w:val="Normal"/>
        <w:numPr>
          <w:ilvl w:val="2"/>
          <w:numId w:val="1"/>
        </w:numPr>
        <w:spacing w:lineRule="auto" w:line="276" w:before="120" w:after="120"/>
        <w:jc w:val="both"/>
        <w:rPr>
          <w:rFonts w:cs="Arial"/>
          <w:color w:val="000000"/>
          <w:szCs w:val="20"/>
        </w:rPr>
      </w:pPr>
      <w:r>
        <w:rPr>
          <w:rFonts w:cs="Arial"/>
          <w:color w:val="000000"/>
          <w:szCs w:val="20"/>
        </w:rPr>
        <w:t>praticar ato lesivo previsto no </w:t>
      </w:r>
      <w:r>
        <w:fldChar w:fldCharType="begin"/>
      </w:r>
      <w:r>
        <w:rPr>
          <w:color w:val="000000"/>
        </w:rPr>
        <w:instrText> HYPERLINK "http://www.planalto.gov.br/ccivil_03/_Ato2011-2014/2013/Lei/L12846.htm" \l "art5"</w:instrText>
      </w:r>
      <w:r>
        <w:rPr>
          <w:color w:val="000000"/>
        </w:rPr>
        <w:fldChar w:fldCharType="separate"/>
      </w:r>
      <w:r>
        <w:rPr>
          <w:color w:val="000000"/>
        </w:rPr>
        <w:t>art. 5º da Lei nº 12.846, de 1º de agosto de 2013.</w:t>
      </w:r>
      <w:r>
        <w:rPr>
          <w:color w:val="000000"/>
        </w:rPr>
        <w:fldChar w:fldCharType="end"/>
      </w:r>
    </w:p>
    <w:p>
      <w:pPr>
        <w:pStyle w:val="Normal"/>
        <w:numPr>
          <w:ilvl w:val="1"/>
          <w:numId w:val="1"/>
        </w:numPr>
        <w:spacing w:lineRule="auto" w:line="276" w:before="120" w:after="120"/>
        <w:ind w:left="425" w:hanging="0"/>
        <w:jc w:val="both"/>
        <w:rPr>
          <w:rFonts w:cs="Arial"/>
          <w:b/>
          <w:b/>
        </w:rPr>
      </w:pPr>
      <w:r>
        <w:rPr>
          <w:rFonts w:cs="Arial"/>
        </w:rPr>
        <w:t>O fornecedor que cometer qualquer das infrações discriminadas nos subitens anteriores ficará sujeito, sem prejuízo da responsabilidade civil e criminal, às seguintes sanções:</w:t>
      </w:r>
    </w:p>
    <w:p>
      <w:pPr>
        <w:pStyle w:val="Normal"/>
        <w:numPr>
          <w:ilvl w:val="2"/>
          <w:numId w:val="6"/>
        </w:numPr>
        <w:spacing w:lineRule="auto" w:line="276" w:before="120" w:after="120"/>
        <w:jc w:val="both"/>
        <w:rPr>
          <w:rFonts w:cs="Arial"/>
        </w:rPr>
      </w:pPr>
      <w:r>
        <w:rPr>
          <w:rFonts w:cs="Arial"/>
        </w:rPr>
        <w:t>Advertência pela falta do subitem 8.1.1 deste Aviso de Contratação Direta,</w:t>
      </w:r>
      <w:r>
        <w:rPr/>
        <w:t xml:space="preserve"> </w:t>
      </w:r>
      <w:r>
        <w:rPr>
          <w:rFonts w:cs="Arial"/>
        </w:rPr>
        <w:t>quando não se justificar a imposição de penalidade mais grave;</w:t>
      </w:r>
    </w:p>
    <w:p>
      <w:pPr>
        <w:pStyle w:val="Normal"/>
        <w:numPr>
          <w:ilvl w:val="2"/>
          <w:numId w:val="6"/>
        </w:numPr>
        <w:spacing w:lineRule="auto" w:line="276" w:before="120" w:after="120"/>
        <w:jc w:val="both"/>
        <w:rPr>
          <w:rFonts w:cs="Arial"/>
        </w:rPr>
      </w:pPr>
      <w:r>
        <w:rPr>
          <w:rFonts w:cs="Arial"/>
        </w:rPr>
        <w:t xml:space="preserve">Multa de </w:t>
      </w:r>
      <w:r>
        <w:rPr>
          <w:rFonts w:cs="Arial"/>
          <w:color w:val="FF0000"/>
        </w:rPr>
        <w:t xml:space="preserve">.......% (..... por cento) </w:t>
      </w:r>
      <w:r>
        <w:rPr>
          <w:rFonts w:cs="Arial"/>
        </w:rPr>
        <w:t>sobre o valor estimado do(s) item(s) prejudicado(s) pela conduta do fornecedor, por qualquer das infrações dos subitens 8.1.1 a 8.1.12;</w:t>
      </w:r>
    </w:p>
    <w:p>
      <w:pPr>
        <w:pStyle w:val="Normal"/>
        <w:pBdr>
          <w:top w:val="single" w:sz="4" w:space="1" w:color="000000"/>
          <w:left w:val="single" w:sz="4" w:space="4" w:color="000000"/>
          <w:bottom w:val="single" w:sz="4" w:space="1" w:color="000000"/>
          <w:right w:val="single" w:sz="4" w:space="4" w:color="000000"/>
        </w:pBdr>
        <w:shd w:val="clear" w:color="auto" w:fill="FFFFCC"/>
        <w:spacing w:lineRule="auto" w:line="276" w:before="0" w:after="160"/>
        <w:jc w:val="both"/>
        <w:rPr>
          <w:rFonts w:cs="Arial"/>
          <w:i/>
          <w:i/>
          <w:iCs/>
        </w:rPr>
      </w:pPr>
      <w:r>
        <w:rPr>
          <w:rFonts w:cs="Arial"/>
          <w:b/>
          <w:bCs/>
          <w:i/>
          <w:iCs/>
        </w:rPr>
        <w:t>Nota Explicativa:</w:t>
      </w:r>
      <w:r>
        <w:rPr>
          <w:rFonts w:cs="Arial"/>
          <w:i/>
          <w:iCs/>
        </w:rPr>
        <w:t xml:space="preserve"> Nos termos do art. 156, §3º da Lei nº 14.133/21, a multa deve ser prevista em percentual entre 0,5% e 30% do valor do contrato.</w:t>
      </w:r>
    </w:p>
    <w:p>
      <w:pPr>
        <w:pStyle w:val="Normal"/>
        <w:numPr>
          <w:ilvl w:val="2"/>
          <w:numId w:val="6"/>
        </w:numPr>
        <w:spacing w:lineRule="auto" w:line="276" w:before="120" w:after="120"/>
        <w:jc w:val="both"/>
        <w:rPr>
          <w:rFonts w:cs="Arial"/>
        </w:rPr>
      </w:pPr>
      <w:r>
        <w:rPr>
          <w:rFonts w:cs="Arial"/>
          <w:color w:val="000000"/>
          <w:szCs w:val="20"/>
        </w:rPr>
        <w:t>Impedimento de licitar e contratar</w:t>
      </w:r>
      <w:r>
        <w:rPr>
          <w:rFonts w:cs="Arial"/>
        </w:rPr>
        <w:t xml:space="preserve"> </w:t>
      </w:r>
      <w:r>
        <w:rPr>
          <w:rFonts w:cs="Arial"/>
          <w:color w:val="000000"/>
          <w:szCs w:val="20"/>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cs="Arial"/>
        </w:rPr>
        <w:t>;</w:t>
      </w:r>
    </w:p>
    <w:p>
      <w:pPr>
        <w:pStyle w:val="Normal"/>
        <w:numPr>
          <w:ilvl w:val="2"/>
          <w:numId w:val="6"/>
        </w:numPr>
        <w:spacing w:lineRule="auto" w:line="276" w:before="120" w:after="120"/>
        <w:jc w:val="both"/>
        <w:rPr>
          <w:rFonts w:cs="Arial"/>
        </w:rPr>
      </w:pPr>
      <w:r>
        <w:rPr>
          <w:rFonts w:cs="Arial"/>
          <w:color w:val="000000"/>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cs="Arial"/>
        </w:rPr>
        <w:t>;</w:t>
      </w:r>
    </w:p>
    <w:p>
      <w:pPr>
        <w:pStyle w:val="Normal"/>
        <w:numPr>
          <w:ilvl w:val="1"/>
          <w:numId w:val="1"/>
        </w:numPr>
        <w:spacing w:lineRule="auto" w:line="276" w:before="120" w:after="120"/>
        <w:jc w:val="both"/>
        <w:rPr>
          <w:rFonts w:cs="Arial"/>
          <w:bCs/>
        </w:rPr>
      </w:pPr>
      <w:r>
        <w:rPr>
          <w:rFonts w:cs="Arial"/>
          <w:bCs/>
        </w:rPr>
        <w:t>Na aplicação das sanções serão considerados:</w:t>
      </w:r>
    </w:p>
    <w:p>
      <w:pPr>
        <w:pStyle w:val="Normal"/>
        <w:numPr>
          <w:ilvl w:val="2"/>
          <w:numId w:val="1"/>
        </w:numPr>
        <w:spacing w:lineRule="auto" w:line="276" w:before="120" w:after="120"/>
        <w:jc w:val="both"/>
        <w:rPr>
          <w:rFonts w:cs="Arial"/>
          <w:bCs/>
        </w:rPr>
      </w:pPr>
      <w:r>
        <w:rPr>
          <w:rFonts w:cs="Arial"/>
          <w:bCs/>
        </w:rPr>
        <w:t>a natureza e a gravidade da infração cometida;</w:t>
      </w:r>
    </w:p>
    <w:p>
      <w:pPr>
        <w:pStyle w:val="Normal"/>
        <w:numPr>
          <w:ilvl w:val="2"/>
          <w:numId w:val="1"/>
        </w:numPr>
        <w:spacing w:lineRule="auto" w:line="276" w:before="120" w:after="120"/>
        <w:jc w:val="both"/>
        <w:rPr>
          <w:rFonts w:cs="Arial"/>
          <w:bCs/>
        </w:rPr>
      </w:pPr>
      <w:r>
        <w:rPr>
          <w:rFonts w:cs="Arial"/>
          <w:bCs/>
        </w:rPr>
        <w:t>as peculiaridades do caso concreto;</w:t>
      </w:r>
    </w:p>
    <w:p>
      <w:pPr>
        <w:pStyle w:val="Normal"/>
        <w:numPr>
          <w:ilvl w:val="2"/>
          <w:numId w:val="1"/>
        </w:numPr>
        <w:spacing w:lineRule="auto" w:line="276" w:before="120" w:after="120"/>
        <w:jc w:val="both"/>
        <w:rPr>
          <w:rFonts w:cs="Arial"/>
          <w:bCs/>
        </w:rPr>
      </w:pPr>
      <w:r>
        <w:rPr>
          <w:rFonts w:cs="Arial"/>
          <w:bCs/>
        </w:rPr>
        <w:t>as circunstâncias agravantes ou atenuantes;</w:t>
      </w:r>
    </w:p>
    <w:p>
      <w:pPr>
        <w:pStyle w:val="Normal"/>
        <w:numPr>
          <w:ilvl w:val="2"/>
          <w:numId w:val="1"/>
        </w:numPr>
        <w:spacing w:lineRule="auto" w:line="276" w:before="120" w:after="120"/>
        <w:jc w:val="both"/>
        <w:rPr>
          <w:rFonts w:cs="Arial"/>
          <w:bCs/>
        </w:rPr>
      </w:pPr>
      <w:r>
        <w:rPr>
          <w:rFonts w:cs="Arial"/>
          <w:bCs/>
        </w:rPr>
        <w:t>os danos que dela provierem para a Administração Pública;</w:t>
      </w:r>
    </w:p>
    <w:p>
      <w:pPr>
        <w:pStyle w:val="Normal"/>
        <w:numPr>
          <w:ilvl w:val="2"/>
          <w:numId w:val="1"/>
        </w:numPr>
        <w:spacing w:lineRule="auto" w:line="276" w:before="120" w:after="120"/>
        <w:jc w:val="both"/>
        <w:rPr>
          <w:rFonts w:cs="Arial"/>
          <w:bCs/>
        </w:rPr>
      </w:pPr>
      <w:r>
        <w:rPr>
          <w:rFonts w:cs="Arial"/>
          <w:bCs/>
        </w:rPr>
        <w:t>a implantação ou o aperfeiçoamento de programa de integridade, conforme normas e orientações dos órgãos de controle.</w:t>
      </w:r>
    </w:p>
    <w:p>
      <w:pPr>
        <w:pStyle w:val="Normal"/>
        <w:numPr>
          <w:ilvl w:val="1"/>
          <w:numId w:val="1"/>
        </w:numPr>
        <w:spacing w:lineRule="auto" w:line="276" w:before="120" w:after="120"/>
        <w:ind w:left="425" w:hanging="0"/>
        <w:jc w:val="both"/>
        <w:rPr>
          <w:rFonts w:cs="Arial"/>
        </w:rPr>
      </w:pPr>
      <w:bookmarkStart w:id="1" w:name="art156§8"/>
      <w:bookmarkStart w:id="2" w:name="art156§7"/>
      <w:bookmarkStart w:id="3" w:name="art156§6"/>
      <w:bookmarkEnd w:id="1"/>
      <w:bookmarkEnd w:id="2"/>
      <w:bookmarkEnd w:id="3"/>
      <w:r>
        <w:rPr>
          <w:rFonts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1"/>
        </w:numPr>
        <w:spacing w:lineRule="auto" w:line="276" w:before="120" w:after="120"/>
        <w:ind w:left="425" w:hanging="0"/>
        <w:jc w:val="both"/>
        <w:rPr>
          <w:rFonts w:cs="Arial"/>
        </w:rPr>
      </w:pPr>
      <w:bookmarkStart w:id="4" w:name="art156§9"/>
      <w:bookmarkEnd w:id="4"/>
      <w:r>
        <w:rPr>
          <w:rFonts w:cs="Arial"/>
        </w:rPr>
        <w:t>A aplicação das sanções previstas neste Aviso de Contratação Direta, em hipótese alguma, a obrigação de reparação integral do dano causado à Administração Pública.</w:t>
      </w:r>
    </w:p>
    <w:p>
      <w:pPr>
        <w:pStyle w:val="Normal"/>
        <w:numPr>
          <w:ilvl w:val="1"/>
          <w:numId w:val="1"/>
        </w:numPr>
        <w:spacing w:lineRule="auto" w:line="276" w:before="120" w:after="120"/>
        <w:ind w:left="425" w:hanging="0"/>
        <w:jc w:val="both"/>
        <w:rPr>
          <w:rFonts w:cs="Arial"/>
        </w:rPr>
      </w:pPr>
      <w:r>
        <w:rPr>
          <w:rFonts w:cs="Arial"/>
        </w:rPr>
        <w:t>A penalidade de multa pode ser aplicada cumulativamente com as demais sanções.</w:t>
      </w:r>
    </w:p>
    <w:p>
      <w:pPr>
        <w:pStyle w:val="Normal"/>
        <w:numPr>
          <w:ilvl w:val="1"/>
          <w:numId w:val="1"/>
        </w:numPr>
        <w:spacing w:lineRule="auto" w:line="276" w:before="120" w:after="120"/>
        <w:ind w:left="425" w:hanging="0"/>
        <w:jc w:val="both"/>
        <w:rPr>
          <w:rFonts w:cs="Arial"/>
        </w:rPr>
      </w:pPr>
      <w:r>
        <w:rPr>
          <w:rFonts w:cs="Arial"/>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1"/>
        </w:numPr>
        <w:spacing w:lineRule="auto" w:line="276" w:before="120" w:after="120"/>
        <w:ind w:left="425" w:hanging="0"/>
        <w:jc w:val="both"/>
        <w:rPr>
          <w:rFonts w:cs="Arial"/>
        </w:rPr>
      </w:pPr>
      <w:r>
        <w:rPr>
          <w:rFonts w:cs="Arial"/>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1"/>
        </w:numPr>
        <w:spacing w:lineRule="auto" w:line="276" w:before="120" w:after="120"/>
        <w:ind w:left="425" w:hanging="0"/>
        <w:jc w:val="both"/>
        <w:rPr>
          <w:rFonts w:cs="Arial"/>
        </w:rPr>
      </w:pPr>
      <w:r>
        <w:rPr>
          <w:rFonts w:cs="Arial"/>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1"/>
        </w:numPr>
        <w:spacing w:lineRule="auto" w:line="276" w:before="120" w:after="120"/>
        <w:ind w:left="425" w:hanging="0"/>
        <w:jc w:val="both"/>
        <w:rPr>
          <w:rFonts w:cs="Arial"/>
        </w:rPr>
      </w:pPr>
      <w:r>
        <w:rPr>
          <w:rFonts w:cs="Arial"/>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1"/>
        </w:numPr>
        <w:spacing w:lineRule="auto" w:line="276" w:before="120" w:after="120"/>
        <w:ind w:left="425" w:hanging="0"/>
        <w:jc w:val="both"/>
        <w:rPr>
          <w:rFonts w:cs="Arial"/>
        </w:rPr>
      </w:pPr>
      <w:r>
        <w:rPr>
          <w:rFonts w:cs="Arial"/>
        </w:rPr>
        <w:t>As sanções por atos praticados no decorrer da contratação estão previstas nos anexos a este Aviso.</w:t>
      </w:r>
    </w:p>
    <w:p>
      <w:pPr>
        <w:pStyle w:val="Normal"/>
        <w:spacing w:lineRule="auto" w:line="276" w:before="120" w:after="120"/>
        <w:ind w:left="425" w:hanging="0"/>
        <w:jc w:val="both"/>
        <w:rPr>
          <w:rFonts w:cs="Arial"/>
        </w:rPr>
      </w:pPr>
      <w:r>
        <w:rPr>
          <w:rFonts w:cs="Arial"/>
        </w:rPr>
      </w:r>
    </w:p>
    <w:p>
      <w:pPr>
        <w:pStyle w:val="PADRO"/>
        <w:keepNext w:val="false"/>
        <w:widowControl/>
        <w:numPr>
          <w:ilvl w:val="0"/>
          <w:numId w:val="1"/>
        </w:numPr>
        <w:shd w:val="clear" w:color="auto" w:fill="auto"/>
        <w:spacing w:before="120" w:after="120"/>
        <w:rPr>
          <w:rFonts w:ascii="Arial" w:hAnsi="Arial" w:cs="Arial"/>
          <w:b/>
          <w:b/>
        </w:rPr>
      </w:pPr>
      <w:r>
        <w:rPr>
          <w:rFonts w:cs="Arial" w:ascii="Arial" w:hAnsi="Arial"/>
          <w:b/>
        </w:rPr>
        <w:t>DAS DISPOSIÇÕES GERAIS</w:t>
      </w:r>
    </w:p>
    <w:p>
      <w:pPr>
        <w:pStyle w:val="Normal"/>
        <w:numPr>
          <w:ilvl w:val="1"/>
          <w:numId w:val="1"/>
        </w:numPr>
        <w:snapToGrid w:val="false"/>
        <w:spacing w:lineRule="auto" w:line="276" w:before="120" w:after="120"/>
        <w:ind w:left="425" w:hanging="0"/>
        <w:jc w:val="both"/>
        <w:rPr>
          <w:rFonts w:cs="Arial"/>
          <w:szCs w:val="20"/>
        </w:rPr>
      </w:pPr>
      <w:r>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No caso de todos os fornecedores restarem desclassificados ou inabilitados (procedimento fracassado), a Administração poderá:</w:t>
      </w:r>
    </w:p>
    <w:p>
      <w:pPr>
        <w:pStyle w:val="Normal"/>
        <w:numPr>
          <w:ilvl w:val="2"/>
          <w:numId w:val="1"/>
        </w:numPr>
        <w:spacing w:lineRule="auto" w:line="276" w:before="120" w:after="120"/>
        <w:jc w:val="both"/>
        <w:rPr>
          <w:rFonts w:cs="Arial"/>
          <w:color w:val="000000"/>
          <w:szCs w:val="20"/>
        </w:rPr>
      </w:pPr>
      <w:r>
        <w:rPr>
          <w:rFonts w:cs="Arial"/>
          <w:color w:val="000000"/>
          <w:szCs w:val="20"/>
        </w:rPr>
        <w:t>republicar o presente aviso com uma nova data;</w:t>
      </w:r>
    </w:p>
    <w:p>
      <w:pPr>
        <w:pStyle w:val="Normal"/>
        <w:numPr>
          <w:ilvl w:val="2"/>
          <w:numId w:val="1"/>
        </w:numPr>
        <w:spacing w:lineRule="auto" w:line="276" w:before="120" w:after="120"/>
        <w:jc w:val="both"/>
        <w:rPr>
          <w:rFonts w:cs="Arial"/>
          <w:color w:val="000000"/>
          <w:szCs w:val="20"/>
        </w:rPr>
      </w:pPr>
      <w:r>
        <w:rPr>
          <w:rFonts w:cs="Arial"/>
          <w:color w:val="000000"/>
          <w:szCs w:val="20"/>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1"/>
        </w:numPr>
        <w:spacing w:lineRule="auto" w:line="276" w:before="120" w:after="120"/>
        <w:jc w:val="both"/>
        <w:rPr>
          <w:rFonts w:cs="Arial"/>
          <w:color w:val="000000"/>
          <w:szCs w:val="20"/>
        </w:rPr>
      </w:pPr>
      <w:r>
        <w:rPr>
          <w:rFonts w:cs="Arial"/>
          <w:color w:val="000000"/>
          <w:szCs w:val="20"/>
        </w:rPr>
        <w:t>No caso do subitem anterior, a contratação será operacionalizada fora deste procedimento.</w:t>
      </w:r>
    </w:p>
    <w:p>
      <w:pPr>
        <w:pStyle w:val="Normal"/>
        <w:numPr>
          <w:ilvl w:val="2"/>
          <w:numId w:val="1"/>
        </w:numPr>
        <w:spacing w:lineRule="auto" w:line="276" w:before="120" w:after="120"/>
        <w:jc w:val="both"/>
        <w:rPr>
          <w:rFonts w:cs="Arial"/>
          <w:color w:val="000000"/>
          <w:szCs w:val="20"/>
        </w:rPr>
      </w:pPr>
      <w:r>
        <w:rPr>
          <w:rFonts w:cs="Arial"/>
          <w:color w:val="000000"/>
          <w:szCs w:val="20"/>
        </w:rPr>
        <w:t>fixar prazo para que possa haver adequação das propostas ou da documentação de habilitação, conforme o caso.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As providências dos subitens 9.2.1 e 9.2.2 acima poderão ser utilizadas se não houver o comparecimento de quaisquer fornecedores interessados (procedimento deserto)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1"/>
        </w:numPr>
        <w:spacing w:lineRule="auto" w:line="276" w:before="120" w:after="120"/>
        <w:ind w:left="425" w:hanging="0"/>
        <w:jc w:val="both"/>
        <w:rPr>
          <w:rFonts w:cs="Arial"/>
          <w:color w:val="000000" w:themeColor="text1"/>
          <w:szCs w:val="20"/>
        </w:rPr>
      </w:pPr>
      <w:r>
        <w:rPr>
          <w:rFonts w:cs="Arial"/>
          <w:color w:val="000000" w:themeColor="text1"/>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Em caso de divergência entre disposições deste Aviso de Contratação Direta e de seus anexos ou demais peças que compõem o processo, prevalecerá as deste Aviso.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Da sessão pública será divulgada Ata no sistema eletrônico.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Integram este Aviso de Contratação Direta, para todos os fins e efeitos, os seguintes anexos:</w:t>
      </w:r>
    </w:p>
    <w:p>
      <w:pPr>
        <w:pStyle w:val="Normal"/>
        <w:numPr>
          <w:ilvl w:val="2"/>
          <w:numId w:val="1"/>
        </w:numPr>
        <w:spacing w:lineRule="auto" w:line="276" w:before="120" w:after="120"/>
        <w:jc w:val="both"/>
        <w:rPr>
          <w:rFonts w:cs="Arial"/>
          <w:color w:val="000000"/>
          <w:szCs w:val="20"/>
        </w:rPr>
      </w:pPr>
      <w:r>
        <w:rPr>
          <w:rFonts w:cs="Arial"/>
          <w:color w:val="000000"/>
          <w:szCs w:val="20"/>
        </w:rPr>
        <w:t>ANEXO I – Documentação exigida para Habilitação</w:t>
      </w:r>
    </w:p>
    <w:p>
      <w:pPr>
        <w:pStyle w:val="Normal"/>
        <w:numPr>
          <w:ilvl w:val="2"/>
          <w:numId w:val="1"/>
        </w:numPr>
        <w:spacing w:lineRule="auto" w:line="276" w:before="120" w:after="120"/>
        <w:jc w:val="both"/>
        <w:rPr>
          <w:rFonts w:cs="Arial"/>
          <w:color w:val="000000"/>
          <w:szCs w:val="20"/>
        </w:rPr>
      </w:pPr>
      <w:r>
        <w:rPr>
          <w:rFonts w:cs="Arial"/>
          <w:color w:val="000000"/>
          <w:szCs w:val="20"/>
        </w:rPr>
        <w:t>ANEXO II - Termo de Referência;</w:t>
      </w:r>
    </w:p>
    <w:p>
      <w:pPr>
        <w:pStyle w:val="Normal"/>
        <w:numPr>
          <w:ilvl w:val="3"/>
          <w:numId w:val="1"/>
        </w:numPr>
        <w:spacing w:lineRule="auto" w:line="276" w:before="120" w:after="120"/>
        <w:jc w:val="both"/>
        <w:rPr>
          <w:rFonts w:cs="Arial"/>
          <w:i/>
          <w:i/>
          <w:iCs/>
          <w:color w:val="FF0000"/>
          <w:szCs w:val="20"/>
        </w:rPr>
      </w:pPr>
      <w:r>
        <w:rPr>
          <w:rFonts w:cs="Arial"/>
          <w:i/>
          <w:iCs/>
          <w:color w:val="FF0000"/>
          <w:szCs w:val="20"/>
        </w:rPr>
        <w:t>ANEXO II.1 – Estudo Técnico Preliminar</w:t>
      </w:r>
    </w:p>
    <w:p>
      <w:pPr>
        <w:pStyle w:val="Normal"/>
        <w:numPr>
          <w:ilvl w:val="2"/>
          <w:numId w:val="1"/>
        </w:numPr>
        <w:spacing w:lineRule="auto" w:line="276" w:before="120" w:after="120"/>
        <w:jc w:val="both"/>
        <w:rPr>
          <w:rFonts w:cs="Arial"/>
          <w:i/>
          <w:i/>
          <w:iCs/>
          <w:color w:val="FF0000"/>
          <w:szCs w:val="20"/>
        </w:rPr>
      </w:pPr>
      <w:r>
        <w:rPr>
          <w:rFonts w:cs="Arial"/>
          <w:i/>
          <w:iCs/>
          <w:color w:val="FF0000"/>
          <w:szCs w:val="20"/>
        </w:rPr>
        <w:t>ANEXO III – Minuta de Termo de Contrato;</w:t>
      </w:r>
    </w:p>
    <w:p>
      <w:pPr>
        <w:pStyle w:val="Normal"/>
        <w:numPr>
          <w:ilvl w:val="2"/>
          <w:numId w:val="1"/>
        </w:numPr>
        <w:spacing w:lineRule="auto" w:line="276" w:before="120" w:after="120"/>
        <w:jc w:val="both"/>
        <w:rPr>
          <w:rFonts w:cs="Arial"/>
          <w:i/>
          <w:i/>
          <w:iCs/>
          <w:color w:val="FF0000"/>
          <w:szCs w:val="20"/>
        </w:rPr>
      </w:pPr>
      <w:r>
        <w:rPr>
          <w:rFonts w:cs="Arial"/>
          <w:i/>
          <w:iCs/>
          <w:color w:val="FF0000"/>
          <w:szCs w:val="20"/>
        </w:rPr>
        <w:t>ANEXO IV - Planilha de Custos e Formação de Preços;</w:t>
      </w:r>
    </w:p>
    <w:p>
      <w:pPr>
        <w:pStyle w:val="Normal"/>
        <w:numPr>
          <w:ilvl w:val="2"/>
          <w:numId w:val="1"/>
        </w:numPr>
        <w:spacing w:lineRule="auto" w:line="276" w:before="120" w:after="120"/>
        <w:jc w:val="both"/>
        <w:rPr>
          <w:rFonts w:cs="Arial"/>
          <w:i/>
          <w:i/>
          <w:iCs/>
          <w:color w:val="FF0000"/>
          <w:szCs w:val="20"/>
        </w:rPr>
      </w:pPr>
      <w:r>
        <w:rPr>
          <w:rFonts w:cs="Arial"/>
          <w:i/>
          <w:iCs/>
          <w:color w:val="FF0000"/>
          <w:szCs w:val="20"/>
        </w:rPr>
        <w:t>ANEXO V – (...)</w:t>
      </w:r>
    </w:p>
    <w:p>
      <w:pPr>
        <w:pStyle w:val="Normal"/>
        <w:spacing w:lineRule="auto" w:line="276" w:before="0" w:after="120"/>
        <w:ind w:left="360" w:right="-15" w:hanging="0"/>
        <w:jc w:val="both"/>
        <w:rPr>
          <w:rFonts w:cs="Arial"/>
          <w:color w:val="000000"/>
          <w:szCs w:val="20"/>
        </w:rPr>
      </w:pPr>
      <w:r>
        <w:rPr>
          <w:rFonts w:cs="Arial"/>
          <w:color w:val="000000"/>
          <w:szCs w:val="20"/>
        </w:rPr>
      </w:r>
    </w:p>
    <w:p>
      <w:pPr>
        <w:pStyle w:val="Normal"/>
        <w:spacing w:lineRule="auto" w:line="276" w:before="0" w:after="120"/>
        <w:ind w:left="360" w:right="-15" w:hanging="0"/>
        <w:jc w:val="both"/>
        <w:rPr>
          <w:rFonts w:cs="Arial"/>
          <w:color w:val="000000"/>
          <w:szCs w:val="20"/>
        </w:rPr>
      </w:pPr>
      <w:r>
        <w:rPr>
          <w:rFonts w:cs="Arial"/>
          <w:color w:val="000000"/>
          <w:szCs w:val="20"/>
        </w:rPr>
        <w:t>........................................... , ......... de ................................. de 20.....</w:t>
      </w:r>
    </w:p>
    <w:p>
      <w:pPr>
        <w:pStyle w:val="Normal"/>
        <w:spacing w:lineRule="auto" w:line="276"/>
        <w:jc w:val="both"/>
        <w:rPr>
          <w:rFonts w:cs="Arial"/>
          <w:szCs w:val="20"/>
        </w:rPr>
      </w:pPr>
      <w:r>
        <w:rPr>
          <w:rFonts w:cs="Arial"/>
          <w:b/>
          <w:bCs/>
          <w:iCs/>
          <w:color w:val="000000"/>
          <w:szCs w:val="20"/>
        </w:rPr>
        <w:t>Assinatura da autoridade competente</w:t>
      </w:r>
    </w:p>
    <w:p>
      <w:pPr>
        <w:pStyle w:val="Normal"/>
        <w:rPr>
          <w:rFonts w:cs="Arial"/>
          <w:lang w:eastAsia="en-US"/>
        </w:rPr>
      </w:pPr>
      <w:r>
        <w:rPr>
          <w:rFonts w:cs="Arial"/>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t>ANEXO I – DOCUMENTAÇÃO EXIGIDA PARA HABILITAÇÃO</w:t>
      </w:r>
    </w:p>
    <w:p>
      <w:pPr>
        <w:pStyle w:val="Normal"/>
        <w:rPr>
          <w:rFonts w:cs="Arial"/>
          <w:lang w:eastAsia="en-US"/>
        </w:rPr>
      </w:pPr>
      <w:r>
        <w:rPr>
          <w:rFonts w:cs="Arial"/>
          <w:lang w:eastAsia="en-US"/>
        </w:rPr>
      </w:r>
    </w:p>
    <w:p>
      <w:pPr>
        <w:pStyle w:val="Quote"/>
        <w:spacing w:lineRule="auto" w:line="276"/>
        <w:rPr>
          <w:rFonts w:cs="Arial"/>
          <w:szCs w:val="20"/>
        </w:rPr>
      </w:pPr>
      <w:r>
        <w:rPr>
          <w:rFonts w:cs="Arial"/>
          <w:b/>
          <w:bCs/>
          <w:szCs w:val="20"/>
        </w:rPr>
        <w:t>Nota explicativa 1:</w:t>
      </w:r>
      <w:r>
        <w:rPr>
          <w:rFonts w:cs="Arial"/>
          <w:szCs w:val="20"/>
        </w:rPr>
        <w:t xml:space="preserve"> É fundamental que a Administração observe que exigências demasiadas poderão prejudicar a competitividade da dispensa e ofender a o disposto no art. 37, XXI da Constituição Federal, o qual preceitua que “o processo de licitação pública... somente permitirá as exigências de qualificação técnica e econômica indispensáveis à garantia do cumprimento das obrigações”. Deve-se examinar, diante do caso concreto, se o objeto da contratação demanda a exigência de todos os requisitos de habilitação apresentados neste modelo, levando-se em consideração o vulto, a complexidade do objeto, a essencialidade do serviço e os riscos decorrentes de sua paralisação em função da eventual incapacidade econômica da contratada em suportar vicissitudes contratuais, excluindo-se o que entender excessivo. </w:t>
      </w:r>
    </w:p>
    <w:p>
      <w:pPr>
        <w:pStyle w:val="Quote"/>
        <w:spacing w:lineRule="auto" w:line="276"/>
        <w:rPr>
          <w:rFonts w:cs="Arial"/>
          <w:szCs w:val="20"/>
        </w:rPr>
      </w:pPr>
      <w:r>
        <w:rPr>
          <w:rFonts w:cs="Arial"/>
          <w:szCs w:val="20"/>
        </w:rPr>
        <w:t>Em dispensa dividida em itens, as exigências de habilitação podem adequar-se a essa divisibilidade (Súmula 247 do TCU), sendo possível, em um mesmo Aviso, a exigência de requisitos de habilitação mais amplos somente para alguns itens. Para se fazer isso, basta acrescentar uma ressalva ao final na exigência pertinente, tal como “(exigência relativa somente aos itens ...., ...., .....)”.</w:t>
      </w:r>
    </w:p>
    <w:p>
      <w:pPr>
        <w:pStyle w:val="Quote"/>
        <w:spacing w:lineRule="auto" w:line="276"/>
        <w:rPr>
          <w:rFonts w:cs="Arial"/>
          <w:szCs w:val="20"/>
        </w:rPr>
      </w:pPr>
      <w:r>
        <w:rPr>
          <w:rFonts w:cs="Arial"/>
          <w:b/>
          <w:bCs/>
          <w:szCs w:val="20"/>
        </w:rPr>
        <w:t>Nota Explicativa 2:</w:t>
      </w:r>
      <w:r>
        <w:rPr>
          <w:rFonts w:cs="Arial"/>
          <w:szCs w:val="20"/>
        </w:rPr>
        <w:t xml:space="preserve"> Utilizar apenas a seção “Regularidade fiscal, social e trabalhista”, com a exclusão das demais previsões deste anexo, conforme art. 20 da IN SEGES/ME n º 67, de 2021 e art. 70 da Lei nº 14.133/21, nos seguintes casos: </w:t>
      </w:r>
    </w:p>
    <w:p>
      <w:pPr>
        <w:pStyle w:val="Quote"/>
        <w:spacing w:lineRule="auto" w:line="276"/>
        <w:rPr>
          <w:rFonts w:cs="Arial"/>
          <w:szCs w:val="20"/>
        </w:rPr>
      </w:pPr>
      <w:r>
        <w:rPr>
          <w:rFonts w:cs="Arial"/>
          <w:szCs w:val="20"/>
        </w:rPr>
        <w:t>a) Aquisições para entrega imediata, considerada aquela com prazo de entrega de até 30 (trinta) dias da ordem de fornecimento;</w:t>
      </w:r>
    </w:p>
    <w:p>
      <w:pPr>
        <w:pStyle w:val="Quote"/>
        <w:spacing w:lineRule="auto" w:line="276"/>
        <w:rPr>
          <w:rFonts w:cs="Arial"/>
          <w:szCs w:val="20"/>
        </w:rPr>
      </w:pPr>
      <w:r>
        <w:rPr>
          <w:rFonts w:cs="Arial"/>
          <w:szCs w:val="20"/>
        </w:rPr>
        <w:t>b) Contratações em valores inferiores a ¼ (um quarto) do limite para dispensa de licitação para compras em geral; e</w:t>
      </w:r>
    </w:p>
    <w:p>
      <w:pPr>
        <w:pStyle w:val="Quote"/>
        <w:spacing w:lineRule="auto" w:line="276"/>
        <w:rPr>
          <w:rFonts w:cs="Arial"/>
          <w:szCs w:val="20"/>
        </w:rPr>
      </w:pPr>
      <w:r>
        <w:rPr>
          <w:rFonts w:cs="Arial"/>
          <w:szCs w:val="20"/>
        </w:rPr>
        <w:t>c) Contratações de produtos para pesquisa e desenvolvimento, até o limite de R$300.000,00.</w:t>
      </w:r>
    </w:p>
    <w:p>
      <w:pPr>
        <w:pStyle w:val="Normal"/>
        <w:rPr>
          <w:rFonts w:cs="Arial"/>
          <w:lang w:eastAsia="en-US"/>
        </w:rPr>
      </w:pPr>
      <w:r>
        <w:rPr>
          <w:rFonts w:cs="Arial"/>
          <w:lang w:eastAsia="en-US"/>
        </w:rPr>
      </w:r>
    </w:p>
    <w:p>
      <w:pPr>
        <w:pStyle w:val="PADRO"/>
        <w:keepNext w:val="false"/>
        <w:widowControl/>
        <w:numPr>
          <w:ilvl w:val="0"/>
          <w:numId w:val="4"/>
        </w:numPr>
        <w:spacing w:before="120" w:after="120"/>
        <w:rPr>
          <w:rFonts w:ascii="Arial" w:hAnsi="Arial" w:cs="Arial"/>
          <w:szCs w:val="20"/>
        </w:rPr>
      </w:pPr>
      <w:r>
        <w:rPr>
          <w:rFonts w:cs="Arial" w:ascii="Arial" w:hAnsi="Arial"/>
          <w:b/>
          <w:bCs/>
          <w:color w:val="000000"/>
          <w:szCs w:val="20"/>
        </w:rPr>
        <w:t xml:space="preserve">Habilitação jurídica: </w:t>
      </w:r>
    </w:p>
    <w:p>
      <w:pPr>
        <w:pStyle w:val="Normal"/>
        <w:numPr>
          <w:ilvl w:val="1"/>
          <w:numId w:val="4"/>
        </w:numPr>
        <w:tabs>
          <w:tab w:val="clear" w:pos="708"/>
          <w:tab w:val="left" w:pos="1440" w:leader="none"/>
        </w:tabs>
        <w:snapToGrid w:val="false"/>
        <w:spacing w:lineRule="auto" w:line="276" w:before="120" w:after="120"/>
        <w:jc w:val="both"/>
        <w:rPr>
          <w:rFonts w:cs="Arial"/>
          <w:szCs w:val="20"/>
        </w:rPr>
      </w:pPr>
      <w:r>
        <w:rPr>
          <w:rFonts w:cs="Arial"/>
          <w:szCs w:val="20"/>
        </w:rPr>
        <w:t>no caso de empresário individual, inscrição no Registro Público de Empresas Mercantis, a cargo da Junta Comercial da respectiva sede;</w:t>
      </w:r>
    </w:p>
    <w:p>
      <w:pPr>
        <w:pStyle w:val="ListParagraph"/>
        <w:numPr>
          <w:ilvl w:val="1"/>
          <w:numId w:val="4"/>
        </w:numPr>
        <w:tabs>
          <w:tab w:val="clear" w:pos="708"/>
          <w:tab w:val="left" w:pos="1440" w:leader="none"/>
        </w:tabs>
        <w:snapToGrid w:val="false"/>
        <w:spacing w:lineRule="auto" w:line="276" w:before="120" w:after="120"/>
        <w:contextualSpacing/>
        <w:jc w:val="both"/>
        <w:rPr>
          <w:rFonts w:cs="Arial"/>
          <w:color w:val="000000"/>
          <w:szCs w:val="20"/>
        </w:rPr>
      </w:pPr>
      <w:r>
        <w:rPr>
          <w:rFonts w:cs="Arial"/>
          <w:color w:val="000000"/>
          <w:szCs w:val="20"/>
        </w:rPr>
        <w:t>Em se tratando de Microempreendedor Individual – MEI: Certificado da Condição de Microempreendedor Individual - CCMEI, cuja aceitação ficará condicionada à verificação da autenticidade no sítio www.portaldoempreendedor.gov.br;</w:t>
      </w:r>
    </w:p>
    <w:p>
      <w:pPr>
        <w:pStyle w:val="Normal"/>
        <w:numPr>
          <w:ilvl w:val="1"/>
          <w:numId w:val="4"/>
        </w:numPr>
        <w:tabs>
          <w:tab w:val="clear" w:pos="708"/>
          <w:tab w:val="left" w:pos="1440" w:leader="none"/>
        </w:tabs>
        <w:snapToGrid w:val="false"/>
        <w:spacing w:lineRule="auto" w:line="276" w:before="120" w:after="120"/>
        <w:jc w:val="both"/>
        <w:rPr>
          <w:rFonts w:cs="Arial"/>
          <w:color w:val="000000"/>
          <w:szCs w:val="20"/>
        </w:rPr>
      </w:pPr>
      <w:r>
        <w:rPr>
          <w:rFonts w:cs="Arial"/>
          <w:color w:val="00000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Normal"/>
        <w:numPr>
          <w:ilvl w:val="1"/>
          <w:numId w:val="4"/>
        </w:numPr>
        <w:tabs>
          <w:tab w:val="clear" w:pos="708"/>
          <w:tab w:val="left" w:pos="1440" w:leader="none"/>
        </w:tabs>
        <w:snapToGrid w:val="false"/>
        <w:spacing w:lineRule="auto" w:line="276" w:before="120" w:after="120"/>
        <w:jc w:val="both"/>
        <w:rPr>
          <w:rFonts w:cs="Arial"/>
          <w:color w:val="000000"/>
          <w:szCs w:val="20"/>
        </w:rPr>
      </w:pPr>
      <w:r>
        <w:rPr>
          <w:rFonts w:cs="Arial"/>
          <w:color w:val="000000"/>
          <w:szCs w:val="20"/>
        </w:rPr>
        <w:t>inscrição no Registro Público de Empresas Mercantis onde opera, com averbação no Registro onde tem sede a matriz, no caso de ser o participante sucursal, filial ou agência;</w:t>
      </w:r>
    </w:p>
    <w:p>
      <w:pPr>
        <w:pStyle w:val="Normal"/>
        <w:numPr>
          <w:ilvl w:val="1"/>
          <w:numId w:val="4"/>
        </w:numPr>
        <w:tabs>
          <w:tab w:val="clear" w:pos="708"/>
          <w:tab w:val="left" w:pos="1440" w:leader="none"/>
        </w:tabs>
        <w:snapToGrid w:val="false"/>
        <w:spacing w:lineRule="auto" w:line="276" w:before="120" w:after="120"/>
        <w:jc w:val="both"/>
        <w:rPr>
          <w:rFonts w:cs="Arial"/>
          <w:szCs w:val="20"/>
        </w:rPr>
      </w:pPr>
      <w:r>
        <w:rPr>
          <w:rFonts w:cs="Arial"/>
          <w:color w:val="000000"/>
          <w:szCs w:val="20"/>
        </w:rPr>
        <w:t>No caso de sociedade simples: inscrição do ato constitutivo no Registro Civil das Pessoas Jurídicas do local de sua sede, acompanhada de prova da indicação dos seus administradores;</w:t>
      </w:r>
    </w:p>
    <w:p>
      <w:pPr>
        <w:pStyle w:val="Normal"/>
        <w:numPr>
          <w:ilvl w:val="1"/>
          <w:numId w:val="4"/>
        </w:numPr>
        <w:tabs>
          <w:tab w:val="clear" w:pos="708"/>
          <w:tab w:val="left" w:pos="1440" w:leader="none"/>
        </w:tabs>
        <w:snapToGrid w:val="false"/>
        <w:spacing w:lineRule="auto" w:line="276" w:before="120" w:after="120"/>
        <w:jc w:val="both"/>
        <w:rPr>
          <w:rFonts w:cs="Arial"/>
          <w:color w:val="000000"/>
          <w:szCs w:val="20"/>
        </w:rPr>
      </w:pPr>
      <w:r>
        <w:rPr>
          <w:rFonts w:cs="Arial"/>
          <w:color w:val="000000"/>
          <w:szCs w:val="20"/>
        </w:rPr>
        <w:t>decreto de autorização, em se tratando de sociedade empresária estrangeira em funcionamento no País;</w:t>
      </w:r>
    </w:p>
    <w:p>
      <w:pPr>
        <w:pStyle w:val="Normal"/>
        <w:numPr>
          <w:ilvl w:val="1"/>
          <w:numId w:val="4"/>
        </w:numPr>
        <w:tabs>
          <w:tab w:val="clear" w:pos="708"/>
          <w:tab w:val="left" w:pos="1440" w:leader="none"/>
        </w:tabs>
        <w:snapToGrid w:val="false"/>
        <w:spacing w:lineRule="auto" w:line="276" w:before="120" w:after="120"/>
        <w:jc w:val="both"/>
        <w:rPr>
          <w:rFonts w:cs="Arial"/>
          <w:bCs/>
          <w:i/>
          <w:i/>
          <w:color w:val="FF0000"/>
          <w:szCs w:val="20"/>
        </w:rPr>
      </w:pPr>
      <w:r>
        <w:rPr>
          <w:rFonts w:cs="Arial"/>
          <w:bCs/>
          <w:i/>
          <w:color w:val="FF0000"/>
          <w:szCs w:val="20"/>
        </w:rPr>
        <w:t>No caso de agricultor familiar: Declaração de Aptidão ao Pronaf – DAP ou DAP-P válida, ou, ainda, outros documentos definidos pela Secretaria Especial de Agricultura Familiar e do Desenvolvimento Agrário, nos termos do art. 4º, §2º do Decreto n. 7.775, de 2012.</w:t>
      </w:r>
    </w:p>
    <w:p>
      <w:pPr>
        <w:pStyle w:val="Normal"/>
        <w:numPr>
          <w:ilvl w:val="1"/>
          <w:numId w:val="4"/>
        </w:numPr>
        <w:tabs>
          <w:tab w:val="clear" w:pos="708"/>
          <w:tab w:val="left" w:pos="1440" w:leader="none"/>
        </w:tabs>
        <w:snapToGrid w:val="false"/>
        <w:spacing w:lineRule="auto" w:line="276" w:before="120" w:after="120"/>
        <w:jc w:val="both"/>
        <w:rPr>
          <w:rFonts w:cs="Arial"/>
          <w:bCs/>
          <w:i/>
          <w:i/>
          <w:color w:val="FF0000"/>
          <w:szCs w:val="20"/>
        </w:rPr>
      </w:pPr>
      <w:r>
        <w:rPr>
          <w:rFonts w:cs="Arial"/>
          <w:bCs/>
          <w:i/>
          <w:color w:val="FF0000"/>
          <w:szCs w:val="20"/>
        </w:rPr>
        <w:t>No caso de produtor rural: matrícula no Cadastro Específico do INSS – CEI, que comprove a qualificação como produtor rural pessoa física, nos termos da Instrução Normativa RFB n. 971, de 2009 (arts. 17 a 19 e 165).</w:t>
      </w:r>
    </w:p>
    <w:p>
      <w:pPr>
        <w:pStyle w:val="Normal"/>
        <w:numPr>
          <w:ilvl w:val="1"/>
          <w:numId w:val="4"/>
        </w:numPr>
        <w:tabs>
          <w:tab w:val="clear" w:pos="708"/>
          <w:tab w:val="left" w:pos="1440" w:leader="none"/>
        </w:tabs>
        <w:snapToGrid w:val="false"/>
        <w:spacing w:lineRule="auto" w:line="276" w:before="120" w:after="120"/>
        <w:jc w:val="both"/>
        <w:rPr>
          <w:rFonts w:eastAsia="Arial" w:cs="Arial"/>
          <w:color w:val="000000"/>
          <w:szCs w:val="20"/>
        </w:rPr>
      </w:pPr>
      <w:r>
        <w:rPr>
          <w:rFonts w:cs="Arial"/>
          <w:i/>
          <w:iCs/>
          <w:color w:val="FF0000"/>
          <w:szCs w:val="20"/>
        </w:rPr>
        <w:t>no caso de exercício de atividade de ............: ato de registro ou autorização para funcionamento expedido pelo órgão competente, nos termos do art. ..... da (Lei/Decreto) n° ........</w:t>
      </w:r>
    </w:p>
    <w:p>
      <w:pPr>
        <w:pStyle w:val="Quote"/>
        <w:spacing w:lineRule="auto" w:line="276"/>
        <w:rPr>
          <w:rFonts w:cs="Arial"/>
          <w:szCs w:val="20"/>
        </w:rPr>
      </w:pPr>
      <w:r>
        <w:rPr>
          <w:rFonts w:cs="Arial"/>
          <w:b/>
          <w:bCs/>
          <w:szCs w:val="20"/>
        </w:rPr>
        <w:t>Nota explicativa:</w:t>
      </w:r>
      <w:r>
        <w:rPr>
          <w:rFonts w:cs="Arial"/>
          <w:szCs w:val="20"/>
        </w:rPr>
        <w:t xml:space="preserve"> o último subitem tem como supedâneo a parte final do disposto no art. 66 da Lei n 14.133/21. Cabe ao órgão ou entidade analisar se a atividade relativa ao objeto a ser contratado exige tal registro ou autorização para funcionamento, em razão de previsão normativa. Em caso positivo, especificar o documento a ser apresentado e o órgão competente para expedi-lo, além do fundamento legal. Cite-se, como exemplo, o registro e autorização para o funcionamento de empresa de vigilância. </w:t>
      </w:r>
    </w:p>
    <w:p>
      <w:pPr>
        <w:pStyle w:val="Normal"/>
        <w:rPr>
          <w:rFonts w:cs="Arial"/>
          <w:lang w:eastAsia="en-US"/>
        </w:rPr>
      </w:pPr>
      <w:r>
        <w:rPr/>
      </w:r>
    </w:p>
    <w:p>
      <w:pPr>
        <w:pStyle w:val="ListParagraph"/>
        <w:numPr>
          <w:ilvl w:val="1"/>
          <w:numId w:val="4"/>
        </w:numPr>
        <w:spacing w:lineRule="auto" w:line="276" w:before="120" w:after="120"/>
        <w:contextualSpacing/>
        <w:jc w:val="both"/>
        <w:rPr>
          <w:rFonts w:cs="Arial"/>
          <w:bCs/>
          <w:color w:val="000000"/>
          <w:szCs w:val="20"/>
        </w:rPr>
      </w:pPr>
      <w:r>
        <w:rPr>
          <w:rFonts w:cs="Arial"/>
          <w:bCs/>
          <w:color w:val="000000"/>
          <w:szCs w:val="20"/>
        </w:rPr>
        <w:t>Os documentos acima deverão estar acompanhados de todas as alterações ou da consolidação respectiva.</w:t>
      </w:r>
    </w:p>
    <w:p>
      <w:pPr>
        <w:pStyle w:val="ListParagraph"/>
        <w:spacing w:lineRule="auto" w:line="276" w:before="120" w:after="120"/>
        <w:ind w:left="1134" w:hanging="0"/>
        <w:contextualSpacing/>
        <w:jc w:val="both"/>
        <w:rPr>
          <w:rFonts w:cs="Arial"/>
          <w:bCs/>
          <w:color w:val="000000"/>
          <w:szCs w:val="20"/>
        </w:rPr>
      </w:pPr>
      <w:r>
        <w:rPr>
          <w:rFonts w:cs="Arial"/>
          <w:bCs/>
          <w:color w:val="000000"/>
          <w:szCs w:val="20"/>
        </w:rPr>
      </w:r>
    </w:p>
    <w:p>
      <w:pPr>
        <w:pStyle w:val="PADRO"/>
        <w:keepNext w:val="false"/>
        <w:widowControl/>
        <w:numPr>
          <w:ilvl w:val="0"/>
          <w:numId w:val="4"/>
        </w:numPr>
        <w:spacing w:before="120" w:after="120"/>
        <w:rPr>
          <w:rFonts w:ascii="Arial" w:hAnsi="Arial" w:cs="Arial"/>
          <w:szCs w:val="20"/>
        </w:rPr>
      </w:pPr>
      <w:r>
        <w:rPr>
          <w:rFonts w:cs="Arial" w:ascii="Arial" w:hAnsi="Arial"/>
          <w:b/>
          <w:bCs/>
          <w:color w:val="000000"/>
          <w:szCs w:val="20"/>
        </w:rPr>
        <w:t xml:space="preserve"> </w:t>
      </w:r>
      <w:r>
        <w:rPr>
          <w:rFonts w:cs="Arial" w:ascii="Arial" w:hAnsi="Arial"/>
          <w:b/>
          <w:bCs/>
          <w:color w:val="000000"/>
          <w:szCs w:val="20"/>
        </w:rPr>
        <w:t>Regularidade fiscal, social e trabalhista:</w:t>
      </w:r>
    </w:p>
    <w:p>
      <w:pPr>
        <w:pStyle w:val="Normal"/>
        <w:numPr>
          <w:ilvl w:val="1"/>
          <w:numId w:val="4"/>
        </w:numPr>
        <w:tabs>
          <w:tab w:val="clear" w:pos="708"/>
          <w:tab w:val="left" w:pos="1440" w:leader="none"/>
        </w:tabs>
        <w:snapToGrid w:val="false"/>
        <w:spacing w:lineRule="auto" w:line="276" w:before="120" w:after="120"/>
        <w:jc w:val="both"/>
        <w:rPr>
          <w:rFonts w:cs="Arial"/>
          <w:szCs w:val="20"/>
        </w:rPr>
      </w:pPr>
      <w:r>
        <w:rPr>
          <w:rFonts w:cs="Arial"/>
          <w:szCs w:val="20"/>
          <w:lang w:eastAsia="en-US"/>
        </w:rPr>
        <w:t>prova de inscrição no Cadastro Nacional de Pessoas Jurídicas ou no Cadastro de Pessoas Físicas, conforme o caso;</w:t>
      </w:r>
    </w:p>
    <w:p>
      <w:pPr>
        <w:pStyle w:val="Normal"/>
        <w:numPr>
          <w:ilvl w:val="1"/>
          <w:numId w:val="4"/>
        </w:numPr>
        <w:tabs>
          <w:tab w:val="clear" w:pos="708"/>
          <w:tab w:val="left" w:pos="1440" w:leader="none"/>
        </w:tabs>
        <w:snapToGrid w:val="false"/>
        <w:spacing w:lineRule="auto" w:line="276" w:before="120" w:after="120"/>
        <w:jc w:val="both"/>
        <w:rPr>
          <w:rFonts w:cs="Arial"/>
          <w:szCs w:val="20"/>
        </w:rPr>
      </w:pPr>
      <w:r>
        <w:rPr>
          <w:rFonts w:cs="Arial"/>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1"/>
          <w:numId w:val="4"/>
        </w:numPr>
        <w:tabs>
          <w:tab w:val="clear" w:pos="708"/>
          <w:tab w:val="left" w:pos="1440" w:leader="none"/>
        </w:tabs>
        <w:snapToGrid w:val="false"/>
        <w:spacing w:lineRule="auto" w:line="276" w:before="120" w:after="120"/>
        <w:jc w:val="both"/>
        <w:rPr>
          <w:rFonts w:cs="Arial"/>
          <w:color w:val="000000"/>
          <w:szCs w:val="20"/>
        </w:rPr>
      </w:pPr>
      <w:r>
        <w:rPr>
          <w:rFonts w:cs="Arial"/>
          <w:color w:val="000000"/>
          <w:szCs w:val="20"/>
          <w:lang w:eastAsia="en-US"/>
        </w:rPr>
        <w:t>prova de regularidade com o Fundo de Garantia do Tempo de Serviço (FGTS);</w:t>
      </w:r>
    </w:p>
    <w:p>
      <w:pPr>
        <w:pStyle w:val="Normal"/>
        <w:numPr>
          <w:ilvl w:val="1"/>
          <w:numId w:val="4"/>
        </w:numPr>
        <w:tabs>
          <w:tab w:val="clear" w:pos="708"/>
          <w:tab w:val="left" w:pos="1440" w:leader="none"/>
        </w:tabs>
        <w:snapToGrid w:val="false"/>
        <w:spacing w:lineRule="auto" w:line="276" w:before="120" w:after="120"/>
        <w:jc w:val="both"/>
        <w:rPr>
          <w:rFonts w:cs="Arial"/>
          <w:szCs w:val="20"/>
        </w:rPr>
      </w:pPr>
      <w:r>
        <w:rPr>
          <w:rFonts w:cs="Arial"/>
          <w:szCs w:val="20"/>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numPr>
          <w:ilvl w:val="1"/>
          <w:numId w:val="4"/>
        </w:numPr>
        <w:tabs>
          <w:tab w:val="clear" w:pos="708"/>
          <w:tab w:val="left" w:pos="1440" w:leader="none"/>
        </w:tabs>
        <w:snapToGrid w:val="false"/>
        <w:spacing w:lineRule="auto" w:line="276" w:before="120" w:after="120"/>
        <w:jc w:val="both"/>
        <w:rPr>
          <w:rFonts w:cs="Arial"/>
          <w:bCs/>
          <w:szCs w:val="20"/>
        </w:rPr>
      </w:pPr>
      <w:r>
        <w:rPr>
          <w:rFonts w:cs="Arial"/>
          <w:bCs/>
          <w:szCs w:val="20"/>
        </w:rPr>
        <w:t xml:space="preserve">prova de </w:t>
      </w:r>
      <w:r>
        <w:rPr>
          <w:rFonts w:cs="Arial"/>
          <w:color w:val="000000"/>
          <w:szCs w:val="20"/>
        </w:rPr>
        <w:t xml:space="preserve">inscrição no cadastro de contribuintes </w:t>
      </w:r>
      <w:r>
        <w:rPr>
          <w:rFonts w:cs="Arial"/>
          <w:i/>
          <w:iCs/>
          <w:color w:val="FF0000"/>
          <w:szCs w:val="20"/>
        </w:rPr>
        <w:t>estadual e/ou municipal</w:t>
      </w:r>
      <w:r>
        <w:rPr>
          <w:rFonts w:cs="Arial"/>
          <w:color w:val="000000"/>
          <w:szCs w:val="20"/>
        </w:rPr>
        <w:t>, relativo ao domicílio ou sede do fornecedor, pertinente ao seu ramo de atividade e compatível com o objeto contratual</w:t>
      </w:r>
      <w:r>
        <w:rPr>
          <w:rFonts w:cs="Arial"/>
          <w:bCs/>
          <w:szCs w:val="20"/>
        </w:rPr>
        <w:t xml:space="preserve">; </w:t>
      </w:r>
    </w:p>
    <w:p>
      <w:pPr>
        <w:pStyle w:val="Normal"/>
        <w:numPr>
          <w:ilvl w:val="1"/>
          <w:numId w:val="4"/>
        </w:numPr>
        <w:tabs>
          <w:tab w:val="clear" w:pos="708"/>
          <w:tab w:val="left" w:pos="1440" w:leader="none"/>
        </w:tabs>
        <w:snapToGrid w:val="false"/>
        <w:spacing w:lineRule="auto" w:line="276" w:before="120" w:after="120"/>
        <w:jc w:val="both"/>
        <w:rPr>
          <w:rFonts w:cs="Arial"/>
          <w:b/>
          <w:b/>
          <w:szCs w:val="20"/>
        </w:rPr>
      </w:pPr>
      <w:r>
        <w:rPr>
          <w:rFonts w:cs="Arial"/>
          <w:szCs w:val="20"/>
        </w:rPr>
        <w:t xml:space="preserve">prova de regularidade com a Fazenda </w:t>
      </w:r>
      <w:r>
        <w:rPr>
          <w:rFonts w:cs="Arial"/>
          <w:i/>
          <w:iCs/>
          <w:color w:val="FF0000"/>
          <w:szCs w:val="20"/>
        </w:rPr>
        <w:t>Estadual e/ou Municipal</w:t>
      </w:r>
      <w:r>
        <w:rPr>
          <w:rFonts w:cs="Arial"/>
          <w:szCs w:val="20"/>
        </w:rPr>
        <w:t xml:space="preserve"> do domicílio ou sede do fornecedor, relativa à atividade em cujo exercício contrata ou concorre; </w:t>
      </w:r>
    </w:p>
    <w:p>
      <w:pPr>
        <w:pStyle w:val="Quote"/>
        <w:spacing w:lineRule="auto" w:line="276"/>
        <w:rPr>
          <w:rFonts w:cs="Arial"/>
          <w:bCs/>
          <w:szCs w:val="20"/>
        </w:rPr>
      </w:pPr>
      <w:r>
        <w:rPr>
          <w:rFonts w:cs="Arial"/>
          <w:b/>
          <w:bCs/>
          <w:szCs w:val="20"/>
        </w:rPr>
        <w:t>Nota explicativa:</w:t>
      </w:r>
      <w:r>
        <w:rPr>
          <w:rFonts w:cs="Arial"/>
          <w:bCs/>
          <w:szCs w:val="20"/>
        </w:rPr>
        <w:t xml:space="preserve"> O artigo 193 do CTN preceitua que a </w:t>
      </w:r>
      <w:r>
        <w:rPr>
          <w:rFonts w:cs="Arial"/>
          <w:szCs w:val="20"/>
        </w:rPr>
        <w:t>prova da quitação de todos os tributos devidos dar-se-á no âmbito da Fazenda Pública interessada, relativos à atividade em cujo exercício contrata ou concorre.</w:t>
      </w:r>
      <w:r>
        <w:rPr>
          <w:rFonts w:cs="Arial"/>
          <w:bCs/>
          <w:szCs w:val="20"/>
        </w:rPr>
        <w:t xml:space="preserve"> </w:t>
      </w:r>
      <w:r>
        <w:rPr>
          <w:rFonts w:cs="Arial"/>
          <w:szCs w:val="20"/>
        </w:rPr>
        <w:t xml:space="preserve">A comprovação de inscrição no cadastro de contribuinte e regularidade fiscal correspondente (estadual ou municipal) considerará a natureza da atividade, objeto da contratação. </w:t>
      </w:r>
      <w:r>
        <w:rPr>
          <w:rFonts w:cs="Arial"/>
          <w:bCs/>
          <w:szCs w:val="20"/>
        </w:rPr>
        <w:t>A exigência de inscrição no cadastro decorre do âmbito da tributação incidente sobre o objeto da contratação: tratando-se de serviços em geral ou obras, incide o ISS, tributo municipal; enquanto que para aquisições, incide o ICMS, tributo estadual. Alerte-se, apenas, que há serviços sobre os quais incide o ICMS (serviços de transporte intermunicipal e interestadual e serviços de comunicação).</w:t>
      </w:r>
    </w:p>
    <w:p>
      <w:pPr>
        <w:pStyle w:val="Quote"/>
        <w:spacing w:lineRule="auto" w:line="276"/>
        <w:rPr>
          <w:rFonts w:cs="Arial"/>
          <w:bCs/>
          <w:szCs w:val="20"/>
        </w:rPr>
      </w:pPr>
      <w:r>
        <w:rPr>
          <w:rFonts w:cs="Arial"/>
          <w:bCs/>
          <w:szCs w:val="20"/>
        </w:rPr>
        <w:t>Desse modo, cabe à Administração verificar a Fazenda interessada e ajustar os dois subitens acima de acordo.</w:t>
      </w:r>
    </w:p>
    <w:p>
      <w:pPr>
        <w:pStyle w:val="Normal"/>
        <w:numPr>
          <w:ilvl w:val="1"/>
          <w:numId w:val="4"/>
        </w:numPr>
        <w:tabs>
          <w:tab w:val="clear" w:pos="708"/>
          <w:tab w:val="left" w:pos="1440" w:leader="none"/>
        </w:tabs>
        <w:snapToGrid w:val="false"/>
        <w:spacing w:lineRule="auto" w:line="276" w:before="120" w:after="120"/>
        <w:jc w:val="both"/>
        <w:rPr>
          <w:rFonts w:cs="Arial"/>
          <w:b/>
          <w:b/>
          <w:szCs w:val="20"/>
        </w:rPr>
      </w:pPr>
      <w:r>
        <w:rPr>
          <w:rFonts w:cs="Arial"/>
          <w:szCs w:val="20"/>
        </w:rPr>
        <w:t xml:space="preserve">caso o fornecedor seja considerado isento dos tributos </w:t>
      </w:r>
      <w:r>
        <w:rPr>
          <w:rFonts w:cs="Arial"/>
          <w:i/>
          <w:color w:val="FF0000"/>
          <w:szCs w:val="20"/>
        </w:rPr>
        <w:t xml:space="preserve">estaduais </w:t>
      </w:r>
      <w:r>
        <w:rPr>
          <w:rFonts w:cs="Arial"/>
          <w:b/>
          <w:i/>
          <w:color w:val="FF0000"/>
          <w:szCs w:val="20"/>
          <w:u w:val="single"/>
        </w:rPr>
        <w:t>ou</w:t>
      </w:r>
      <w:r>
        <w:rPr>
          <w:rFonts w:cs="Arial"/>
          <w:i/>
          <w:color w:val="FF0000"/>
          <w:szCs w:val="20"/>
        </w:rPr>
        <w:t xml:space="preserve"> municipais</w:t>
      </w:r>
      <w:r>
        <w:rPr>
          <w:rFonts w:cs="Arial"/>
          <w:color w:val="FF0000"/>
          <w:szCs w:val="20"/>
        </w:rPr>
        <w:t xml:space="preserve"> </w:t>
      </w:r>
      <w:r>
        <w:rPr>
          <w:rFonts w:cs="Arial"/>
          <w:szCs w:val="20"/>
        </w:rPr>
        <w:t xml:space="preserve">relacionados ao objeto contratual, deverá comprovar tal condição mediante a apresentação de declaração da Fazenda respectiva do seu domicílio ou sede, ou outra equivalente, na forma da lei; </w:t>
      </w:r>
    </w:p>
    <w:p>
      <w:pPr>
        <w:pStyle w:val="PADRO"/>
        <w:keepNext w:val="false"/>
        <w:widowControl/>
        <w:numPr>
          <w:ilvl w:val="0"/>
          <w:numId w:val="4"/>
        </w:numPr>
        <w:spacing w:before="120" w:after="120"/>
        <w:rPr>
          <w:rFonts w:ascii="Arial" w:hAnsi="Arial" w:cs="Arial"/>
          <w:szCs w:val="20"/>
        </w:rPr>
      </w:pPr>
      <w:r>
        <w:rPr>
          <w:rFonts w:cs="Arial" w:ascii="Arial" w:hAnsi="Arial"/>
          <w:b/>
          <w:color w:val="000000"/>
          <w:szCs w:val="20"/>
        </w:rPr>
        <w:t>Qualificação Econômico-Financeira:</w:t>
      </w:r>
      <w:r>
        <w:rPr>
          <w:rFonts w:cs="Arial" w:ascii="Arial" w:hAnsi="Arial"/>
          <w:b/>
          <w:bCs/>
          <w:iCs/>
          <w:color w:val="000000"/>
          <w:szCs w:val="20"/>
        </w:rPr>
        <w:t xml:space="preserve"> </w:t>
      </w:r>
    </w:p>
    <w:p>
      <w:pPr>
        <w:pStyle w:val="Quote"/>
        <w:spacing w:lineRule="auto" w:line="276"/>
        <w:rPr>
          <w:rFonts w:cs="Arial"/>
          <w:bCs/>
          <w:szCs w:val="20"/>
        </w:rPr>
      </w:pPr>
      <w:r>
        <w:rPr>
          <w:rFonts w:cs="Arial"/>
          <w:b/>
          <w:bCs/>
          <w:szCs w:val="20"/>
        </w:rPr>
        <w:t xml:space="preserve">Nota Explicativa: </w:t>
      </w:r>
      <w:r>
        <w:rPr>
          <w:rFonts w:cs="Arial"/>
          <w:bCs/>
          <w:szCs w:val="20"/>
        </w:rPr>
        <w:t>É possível adotar critérios de habilitação econômico-financeira com outros requisitos além dos previstos abaixo, desde que estabelecidos conforme as peculiaridades do objeto a ser contratado, tornando-se necessário que exista justificativa do limite adotado nos autos do procedimento de contratação, na forma do art. 69 da Lei nº 14.133/21.</w:t>
      </w:r>
    </w:p>
    <w:p>
      <w:pPr>
        <w:pStyle w:val="Quote"/>
        <w:spacing w:lineRule="auto" w:line="276"/>
        <w:rPr>
          <w:rFonts w:cs="Arial"/>
          <w:b/>
          <w:b/>
          <w:bCs/>
          <w:szCs w:val="20"/>
        </w:rPr>
      </w:pPr>
      <w:r>
        <w:rPr>
          <w:rFonts w:cs="Arial"/>
        </w:rPr>
        <w:t>Ademais, na forma do art. 69, §3º, da Lei n.º 14.133/2021, poderá ser solicitada, mediante apresentação de justificativa  a luz do caso concreto, relação de compromissos assumidos pelo licitante que importem em diminuição de sua capacidade econômico-financeira, excluídas parcelas já executadas de contratos firmados, que serão executados concomitante ao objeto do contrato administrativo, com o objetivo de possibilitar posteriormente a execução do objeto.</w:t>
      </w:r>
    </w:p>
    <w:p>
      <w:pPr>
        <w:pStyle w:val="ListParagraph"/>
        <w:numPr>
          <w:ilvl w:val="1"/>
          <w:numId w:val="4"/>
        </w:numPr>
        <w:tabs>
          <w:tab w:val="clear" w:pos="708"/>
          <w:tab w:val="left" w:pos="1440" w:leader="none"/>
        </w:tabs>
        <w:snapToGrid w:val="false"/>
        <w:spacing w:lineRule="auto" w:line="276" w:before="120" w:after="120"/>
        <w:contextualSpacing/>
        <w:jc w:val="both"/>
        <w:rPr>
          <w:rFonts w:cs="Arial"/>
          <w:color w:val="000000"/>
          <w:szCs w:val="20"/>
        </w:rPr>
      </w:pPr>
      <w:r>
        <w:rPr>
          <w:rFonts w:cs="Arial"/>
          <w:color w:val="000000"/>
          <w:szCs w:val="20"/>
        </w:rPr>
        <w:t>certidão negativa de falência expedida pelo distribuidor da sede do fornecedor;</w:t>
      </w:r>
    </w:p>
    <w:p>
      <w:pPr>
        <w:pStyle w:val="Normal"/>
        <w:numPr>
          <w:ilvl w:val="1"/>
          <w:numId w:val="4"/>
        </w:numPr>
        <w:tabs>
          <w:tab w:val="clear" w:pos="708"/>
          <w:tab w:val="left" w:pos="1440" w:leader="none"/>
        </w:tabs>
        <w:snapToGrid w:val="false"/>
        <w:spacing w:lineRule="auto" w:line="276" w:before="120" w:after="120"/>
        <w:jc w:val="both"/>
        <w:rPr>
          <w:rFonts w:cs="Arial"/>
          <w:color w:val="000000"/>
          <w:szCs w:val="20"/>
        </w:rPr>
      </w:pPr>
      <w:r>
        <w:rPr>
          <w:rFonts w:cs="Arial"/>
          <w:color w:val="000000"/>
          <w:szCs w:val="20"/>
        </w:rPr>
        <w:t>balanço patrimonial, demonstração de resultado de exercício e demais demonstrações contábeis dos 2 (dois) últimos exercícios sociais;</w:t>
      </w:r>
    </w:p>
    <w:p>
      <w:pPr>
        <w:pStyle w:val="Normal"/>
        <w:numPr>
          <w:ilvl w:val="2"/>
          <w:numId w:val="4"/>
        </w:numPr>
        <w:spacing w:lineRule="auto" w:line="276" w:before="120" w:after="120"/>
        <w:jc w:val="both"/>
        <w:rPr>
          <w:rFonts w:cs="Arial"/>
          <w:color w:val="000000"/>
          <w:szCs w:val="20"/>
        </w:rPr>
      </w:pPr>
      <w:r>
        <w:rPr>
          <w:rFonts w:cs="Arial"/>
          <w:color w:val="000000"/>
          <w:szCs w:val="20"/>
        </w:rPr>
        <w:t>As empresas criadas no exercício financeiro da dispensa deverão atender a todas as exigências da habilitação e poderão substituir os demonstrativos contábeis pelo balanço de abertura.</w:t>
      </w:r>
    </w:p>
    <w:p>
      <w:pPr>
        <w:pStyle w:val="Normal"/>
        <w:numPr>
          <w:ilvl w:val="2"/>
          <w:numId w:val="4"/>
        </w:numPr>
        <w:spacing w:lineRule="auto" w:line="276" w:before="120" w:after="120"/>
        <w:jc w:val="both"/>
        <w:rPr>
          <w:rFonts w:cs="Arial"/>
          <w:color w:val="000000"/>
          <w:szCs w:val="20"/>
        </w:rPr>
      </w:pPr>
      <w:r>
        <w:rPr>
          <w:rFonts w:cs="Arial"/>
          <w:color w:val="000000"/>
          <w:szCs w:val="20"/>
        </w:rPr>
        <w:t>Os documentos referidos acima limitar-se-ão ao último exercício no caso de a pessoa jurídica ter sido constituída há menos de 2 (dois) anos.</w:t>
      </w:r>
    </w:p>
    <w:p>
      <w:pPr>
        <w:pStyle w:val="Nivel4"/>
        <w:numPr>
          <w:ilvl w:val="2"/>
          <w:numId w:val="4"/>
        </w:numPr>
        <w:rPr>
          <w:rFonts w:ascii="Arial" w:hAnsi="Arial"/>
          <w:i/>
          <w:i/>
          <w:color w:val="FF0000"/>
        </w:rPr>
      </w:pPr>
      <w:r>
        <w:rPr>
          <w:rFonts w:ascii="Arial" w:hAnsi="Arial"/>
          <w:i/>
          <w:color w:val="FF0000"/>
        </w:rPr>
        <w:t>Caso o fornecedor seja cooperativa, tais documentos deverão ser acompanhados da última auditoria contábil-financeira, conforme dispõe o artigo 112 da Lei nº 5.764, de 1971, ou de uma declaração, sob as penas da lei, de que tal auditoria não foi exigida pelo órgão fiscalizador;</w:t>
      </w:r>
    </w:p>
    <w:p>
      <w:pPr>
        <w:pStyle w:val="Normal"/>
        <w:numPr>
          <w:ilvl w:val="1"/>
          <w:numId w:val="4"/>
        </w:numPr>
        <w:tabs>
          <w:tab w:val="clear" w:pos="708"/>
          <w:tab w:val="left" w:pos="1440" w:leader="none"/>
        </w:tabs>
        <w:snapToGrid w:val="false"/>
        <w:spacing w:lineRule="auto" w:line="276" w:before="120" w:after="120"/>
        <w:jc w:val="both"/>
        <w:rPr>
          <w:rFonts w:cs="Arial"/>
          <w:color w:val="000000"/>
          <w:szCs w:val="20"/>
        </w:rPr>
      </w:pPr>
      <w:r>
        <w:rPr>
          <w:rFonts w:cs="Arial"/>
          <w:color w:val="000000"/>
          <w:szCs w:val="20"/>
        </w:rPr>
        <w:t xml:space="preserve">comprovação da boa situação financeira da empresa mediante obtenção de índices de Liquidez Geral (LG), Solvência Geral (SG) e Liquidez Corrente (LC), superiores a 1 (um), obtidos pela aplicação das seguintes fórmulas: </w:t>
      </w:r>
    </w:p>
    <w:tbl>
      <w:tblPr>
        <w:tblStyle w:val="Tabelacomgrade"/>
        <w:tblW w:w="6487" w:type="dxa"/>
        <w:jc w:val="left"/>
        <w:tblInd w:w="1242" w:type="dxa"/>
        <w:tblLayout w:type="fixed"/>
        <w:tblCellMar>
          <w:top w:w="0" w:type="dxa"/>
          <w:left w:w="108" w:type="dxa"/>
          <w:bottom w:w="0" w:type="dxa"/>
          <w:right w:w="108" w:type="dxa"/>
        </w:tblCellMar>
        <w:tblLook w:firstRow="1" w:noVBand="1" w:lastRow="0" w:firstColumn="1" w:lastColumn="0" w:noHBand="0" w:val="04a0"/>
      </w:tblPr>
      <w:tblGrid>
        <w:gridCol w:w="2234"/>
        <w:gridCol w:w="4252"/>
      </w:tblGrid>
      <w:tr>
        <w:trPr/>
        <w:tc>
          <w:tcPr>
            <w:tcW w:w="2234" w:type="dxa"/>
            <w:vMerge w:val="restart"/>
            <w:tcBorders>
              <w:top w:val="nil"/>
              <w:left w:val="nil"/>
              <w:bottom w:val="nil"/>
              <w:right w:val="nil"/>
            </w:tcBorders>
            <w:vAlign w:val="center"/>
          </w:tcPr>
          <w:p>
            <w:pPr>
              <w:pStyle w:val="Normal"/>
              <w:widowControl w:val="false"/>
              <w:tabs>
                <w:tab w:val="clear" w:pos="708"/>
                <w:tab w:val="left" w:pos="1440" w:leader="none"/>
              </w:tabs>
              <w:suppressAutoHyphens w:val="true"/>
              <w:snapToGrid w:val="false"/>
              <w:spacing w:lineRule="auto" w:line="276" w:before="0" w:after="0"/>
              <w:jc w:val="both"/>
              <w:rPr>
                <w:rFonts w:cs="Arial"/>
                <w:color w:val="000000"/>
                <w:szCs w:val="20"/>
              </w:rPr>
            </w:pPr>
            <w:r>
              <w:rPr>
                <w:rFonts w:cs="Arial"/>
                <w:color w:val="000000"/>
                <w:kern w:val="0"/>
                <w:szCs w:val="20"/>
                <w:lang w:val="pt-BR" w:bidi="ar-SA"/>
              </w:rPr>
              <w:t>LG =</w:t>
            </w:r>
          </w:p>
        </w:tc>
        <w:tc>
          <w:tcPr>
            <w:tcW w:w="4252" w:type="dxa"/>
            <w:tcBorders>
              <w:top w:val="nil"/>
              <w:left w:val="nil"/>
              <w:right w:val="nil"/>
            </w:tcBorders>
            <w:vAlign w:val="bottom"/>
          </w:tcPr>
          <w:p>
            <w:pPr>
              <w:pStyle w:val="Normal"/>
              <w:widowControl w:val="false"/>
              <w:tabs>
                <w:tab w:val="clear" w:pos="708"/>
                <w:tab w:val="left" w:pos="1440" w:leader="none"/>
              </w:tabs>
              <w:suppressAutoHyphens w:val="true"/>
              <w:snapToGrid w:val="false"/>
              <w:spacing w:lineRule="auto" w:line="276" w:before="0" w:after="0"/>
              <w:jc w:val="both"/>
              <w:rPr>
                <w:rFonts w:cs="Arial"/>
                <w:color w:val="000000"/>
                <w:szCs w:val="20"/>
              </w:rPr>
            </w:pPr>
            <w:r>
              <w:rPr>
                <w:rFonts w:cs="Arial"/>
                <w:color w:val="000000"/>
                <w:kern w:val="0"/>
                <w:szCs w:val="20"/>
                <w:lang w:val="pt-BR" w:bidi="ar-SA"/>
              </w:rPr>
              <w:t>Ativo Circulante + Realizável a Longo Prazo</w:t>
            </w:r>
          </w:p>
        </w:tc>
      </w:tr>
      <w:tr>
        <w:trPr/>
        <w:tc>
          <w:tcPr>
            <w:tcW w:w="2234" w:type="dxa"/>
            <w:vMerge w:val="continue"/>
            <w:tcBorders>
              <w:top w:val="nil"/>
              <w:left w:val="nil"/>
              <w:bottom w:val="nil"/>
              <w:right w:val="nil"/>
            </w:tcBorders>
          </w:tcPr>
          <w:p>
            <w:pPr>
              <w:pStyle w:val="Normal"/>
              <w:widowControl w:val="false"/>
              <w:tabs>
                <w:tab w:val="clear" w:pos="708"/>
                <w:tab w:val="left" w:pos="1440" w:leader="none"/>
              </w:tabs>
              <w:suppressAutoHyphens w:val="true"/>
              <w:snapToGrid w:val="false"/>
              <w:spacing w:lineRule="auto" w:line="276" w:before="0" w:after="0"/>
              <w:jc w:val="both"/>
              <w:rPr>
                <w:rFonts w:cs="Arial"/>
                <w:color w:val="000000"/>
                <w:szCs w:val="20"/>
              </w:rPr>
            </w:pPr>
            <w:r>
              <w:rPr>
                <w:rFonts w:cs="Arial"/>
                <w:color w:val="000000"/>
                <w:szCs w:val="20"/>
              </w:rPr>
            </w:r>
          </w:p>
        </w:tc>
        <w:tc>
          <w:tcPr>
            <w:tcW w:w="4252" w:type="dxa"/>
            <w:tcBorders>
              <w:left w:val="nil"/>
              <w:bottom w:val="nil"/>
              <w:right w:val="nil"/>
            </w:tcBorders>
          </w:tcPr>
          <w:p>
            <w:pPr>
              <w:pStyle w:val="Normal"/>
              <w:widowControl w:val="false"/>
              <w:tabs>
                <w:tab w:val="clear" w:pos="708"/>
                <w:tab w:val="left" w:pos="1440" w:leader="none"/>
              </w:tabs>
              <w:suppressAutoHyphens w:val="true"/>
              <w:snapToGrid w:val="false"/>
              <w:spacing w:lineRule="auto" w:line="276" w:before="0" w:after="0"/>
              <w:jc w:val="both"/>
              <w:rPr>
                <w:rFonts w:cs="Arial"/>
                <w:color w:val="000000"/>
                <w:szCs w:val="20"/>
              </w:rPr>
            </w:pPr>
            <w:r>
              <w:rPr>
                <w:rFonts w:cs="Arial"/>
                <w:color w:val="000000"/>
                <w:kern w:val="0"/>
                <w:szCs w:val="20"/>
                <w:lang w:val="pt-BR" w:bidi="ar-SA"/>
              </w:rPr>
              <w:t>Passivo Circulante + Passivo Não Circulante</w:t>
            </w:r>
          </w:p>
        </w:tc>
      </w:tr>
    </w:tbl>
    <w:p>
      <w:pPr>
        <w:pStyle w:val="Normal"/>
        <w:tabs>
          <w:tab w:val="clear" w:pos="708"/>
          <w:tab w:val="left" w:pos="1440" w:leader="none"/>
        </w:tabs>
        <w:snapToGrid w:val="false"/>
        <w:spacing w:lineRule="auto" w:line="276"/>
        <w:ind w:left="1134" w:hanging="0"/>
        <w:jc w:val="both"/>
        <w:rPr>
          <w:rFonts w:cs="Arial"/>
          <w:color w:val="000000"/>
          <w:szCs w:val="20"/>
        </w:rPr>
      </w:pPr>
      <w:r>
        <w:rPr>
          <w:rFonts w:cs="Arial"/>
          <w:color w:val="000000"/>
          <w:szCs w:val="20"/>
        </w:rPr>
      </w:r>
    </w:p>
    <w:tbl>
      <w:tblPr>
        <w:tblStyle w:val="Tabelacomgrade"/>
        <w:tblW w:w="6629" w:type="dxa"/>
        <w:jc w:val="left"/>
        <w:tblInd w:w="1242" w:type="dxa"/>
        <w:tblLayout w:type="fixed"/>
        <w:tblCellMar>
          <w:top w:w="0" w:type="dxa"/>
          <w:left w:w="108" w:type="dxa"/>
          <w:bottom w:w="0" w:type="dxa"/>
          <w:right w:w="108" w:type="dxa"/>
        </w:tblCellMar>
        <w:tblLook w:firstRow="1" w:noVBand="1" w:lastRow="0" w:firstColumn="1" w:lastColumn="0" w:noHBand="0" w:val="04a0"/>
      </w:tblPr>
      <w:tblGrid>
        <w:gridCol w:w="2235"/>
        <w:gridCol w:w="4393"/>
      </w:tblGrid>
      <w:tr>
        <w:trPr>
          <w:cantSplit w:val="true"/>
        </w:trPr>
        <w:tc>
          <w:tcPr>
            <w:tcW w:w="2235" w:type="dxa"/>
            <w:vMerge w:val="restart"/>
            <w:tcBorders>
              <w:top w:val="nil"/>
              <w:left w:val="nil"/>
              <w:bottom w:val="nil"/>
              <w:right w:val="nil"/>
            </w:tcBorders>
            <w:vAlign w:val="center"/>
          </w:tcPr>
          <w:p>
            <w:pPr>
              <w:pStyle w:val="Normal"/>
              <w:widowControl w:val="false"/>
              <w:tabs>
                <w:tab w:val="clear" w:pos="708"/>
                <w:tab w:val="left" w:pos="1440" w:leader="none"/>
              </w:tabs>
              <w:suppressAutoHyphens w:val="true"/>
              <w:snapToGrid w:val="false"/>
              <w:spacing w:lineRule="auto" w:line="276" w:before="0" w:after="0"/>
              <w:jc w:val="both"/>
              <w:rPr>
                <w:rFonts w:cs="Arial"/>
                <w:color w:val="000000"/>
                <w:szCs w:val="20"/>
              </w:rPr>
            </w:pPr>
            <w:r>
              <w:rPr>
                <w:rFonts w:cs="Arial"/>
                <w:color w:val="000000"/>
                <w:kern w:val="0"/>
                <w:szCs w:val="20"/>
                <w:lang w:val="pt-BR" w:bidi="ar-SA"/>
              </w:rPr>
              <w:t>SG =</w:t>
            </w:r>
          </w:p>
        </w:tc>
        <w:tc>
          <w:tcPr>
            <w:tcW w:w="4393" w:type="dxa"/>
            <w:tcBorders>
              <w:top w:val="nil"/>
              <w:left w:val="nil"/>
              <w:right w:val="nil"/>
            </w:tcBorders>
            <w:vAlign w:val="bottom"/>
          </w:tcPr>
          <w:p>
            <w:pPr>
              <w:pStyle w:val="Normal"/>
              <w:widowControl w:val="false"/>
              <w:tabs>
                <w:tab w:val="clear" w:pos="708"/>
                <w:tab w:val="left" w:pos="1440" w:leader="none"/>
              </w:tabs>
              <w:suppressAutoHyphens w:val="true"/>
              <w:snapToGrid w:val="false"/>
              <w:spacing w:lineRule="auto" w:line="276" w:before="0" w:after="0"/>
              <w:jc w:val="both"/>
              <w:rPr>
                <w:rFonts w:cs="Arial"/>
                <w:color w:val="000000"/>
                <w:szCs w:val="20"/>
              </w:rPr>
            </w:pPr>
            <w:r>
              <w:rPr>
                <w:rFonts w:cs="Arial"/>
                <w:color w:val="000000"/>
                <w:kern w:val="0"/>
                <w:szCs w:val="20"/>
                <w:lang w:val="pt-BR" w:bidi="ar-SA"/>
              </w:rPr>
              <w:t>Ativo Total</w:t>
            </w:r>
          </w:p>
        </w:tc>
      </w:tr>
      <w:tr>
        <w:trPr>
          <w:cantSplit w:val="true"/>
        </w:trPr>
        <w:tc>
          <w:tcPr>
            <w:tcW w:w="2235" w:type="dxa"/>
            <w:vMerge w:val="continue"/>
            <w:tcBorders>
              <w:top w:val="nil"/>
              <w:left w:val="nil"/>
              <w:bottom w:val="nil"/>
              <w:right w:val="nil"/>
            </w:tcBorders>
          </w:tcPr>
          <w:p>
            <w:pPr>
              <w:pStyle w:val="Normal"/>
              <w:widowControl w:val="false"/>
              <w:tabs>
                <w:tab w:val="clear" w:pos="708"/>
                <w:tab w:val="left" w:pos="1440" w:leader="none"/>
              </w:tabs>
              <w:suppressAutoHyphens w:val="true"/>
              <w:snapToGrid w:val="false"/>
              <w:spacing w:lineRule="auto" w:line="276" w:before="0" w:after="0"/>
              <w:jc w:val="both"/>
              <w:rPr>
                <w:rFonts w:cs="Arial"/>
                <w:color w:val="000000"/>
                <w:szCs w:val="20"/>
              </w:rPr>
            </w:pPr>
            <w:r>
              <w:rPr>
                <w:rFonts w:cs="Arial"/>
                <w:color w:val="000000"/>
                <w:szCs w:val="20"/>
              </w:rPr>
            </w:r>
          </w:p>
        </w:tc>
        <w:tc>
          <w:tcPr>
            <w:tcW w:w="4393" w:type="dxa"/>
            <w:tcBorders>
              <w:left w:val="nil"/>
              <w:bottom w:val="nil"/>
              <w:right w:val="nil"/>
            </w:tcBorders>
          </w:tcPr>
          <w:p>
            <w:pPr>
              <w:pStyle w:val="Normal"/>
              <w:widowControl w:val="false"/>
              <w:tabs>
                <w:tab w:val="clear" w:pos="708"/>
                <w:tab w:val="left" w:pos="1440" w:leader="none"/>
              </w:tabs>
              <w:suppressAutoHyphens w:val="true"/>
              <w:snapToGrid w:val="false"/>
              <w:spacing w:lineRule="auto" w:line="276" w:before="0" w:after="0"/>
              <w:jc w:val="both"/>
              <w:rPr>
                <w:rFonts w:cs="Arial"/>
                <w:color w:val="000000"/>
                <w:szCs w:val="20"/>
              </w:rPr>
            </w:pPr>
            <w:r>
              <w:rPr>
                <w:rFonts w:cs="Arial"/>
                <w:color w:val="000000"/>
                <w:kern w:val="0"/>
                <w:szCs w:val="20"/>
                <w:lang w:val="pt-BR" w:bidi="ar-SA"/>
              </w:rPr>
              <w:t>Passivo Circulante + Passivo Não Circulante</w:t>
            </w:r>
          </w:p>
        </w:tc>
      </w:tr>
    </w:tbl>
    <w:p>
      <w:pPr>
        <w:pStyle w:val="Normal"/>
        <w:tabs>
          <w:tab w:val="clear" w:pos="708"/>
          <w:tab w:val="left" w:pos="1440" w:leader="none"/>
        </w:tabs>
        <w:snapToGrid w:val="false"/>
        <w:spacing w:lineRule="auto" w:line="276"/>
        <w:ind w:left="1134" w:hanging="0"/>
        <w:jc w:val="both"/>
        <w:rPr>
          <w:rFonts w:cs="Arial"/>
          <w:color w:val="000000"/>
          <w:szCs w:val="20"/>
        </w:rPr>
      </w:pPr>
      <w:r>
        <w:rPr>
          <w:rFonts w:cs="Arial"/>
          <w:color w:val="000000"/>
          <w:szCs w:val="20"/>
        </w:rPr>
      </w:r>
    </w:p>
    <w:tbl>
      <w:tblPr>
        <w:tblStyle w:val="Tabelacomgrade"/>
        <w:tblW w:w="4786" w:type="dxa"/>
        <w:jc w:val="left"/>
        <w:tblInd w:w="1242" w:type="dxa"/>
        <w:tblLayout w:type="fixed"/>
        <w:tblCellMar>
          <w:top w:w="0" w:type="dxa"/>
          <w:left w:w="108" w:type="dxa"/>
          <w:bottom w:w="0" w:type="dxa"/>
          <w:right w:w="108" w:type="dxa"/>
        </w:tblCellMar>
        <w:tblLook w:firstRow="1" w:noVBand="1" w:lastRow="0" w:firstColumn="1" w:lastColumn="0" w:noHBand="0" w:val="04a0"/>
      </w:tblPr>
      <w:tblGrid>
        <w:gridCol w:w="2235"/>
        <w:gridCol w:w="2550"/>
      </w:tblGrid>
      <w:tr>
        <w:trPr/>
        <w:tc>
          <w:tcPr>
            <w:tcW w:w="2235" w:type="dxa"/>
            <w:vMerge w:val="restart"/>
            <w:tcBorders>
              <w:top w:val="nil"/>
              <w:left w:val="nil"/>
              <w:bottom w:val="nil"/>
              <w:right w:val="nil"/>
            </w:tcBorders>
            <w:vAlign w:val="center"/>
          </w:tcPr>
          <w:p>
            <w:pPr>
              <w:pStyle w:val="Normal"/>
              <w:widowControl w:val="false"/>
              <w:tabs>
                <w:tab w:val="clear" w:pos="708"/>
                <w:tab w:val="left" w:pos="1440" w:leader="none"/>
              </w:tabs>
              <w:suppressAutoHyphens w:val="true"/>
              <w:snapToGrid w:val="false"/>
              <w:spacing w:lineRule="auto" w:line="276" w:before="0" w:after="0"/>
              <w:jc w:val="both"/>
              <w:rPr>
                <w:rFonts w:cs="Arial"/>
                <w:color w:val="000000"/>
                <w:szCs w:val="20"/>
              </w:rPr>
            </w:pPr>
            <w:r>
              <w:rPr>
                <w:rFonts w:cs="Arial"/>
                <w:color w:val="000000"/>
                <w:kern w:val="0"/>
                <w:szCs w:val="20"/>
                <w:lang w:val="pt-BR" w:bidi="ar-SA"/>
              </w:rPr>
              <w:t>LC =</w:t>
            </w:r>
          </w:p>
        </w:tc>
        <w:tc>
          <w:tcPr>
            <w:tcW w:w="2550" w:type="dxa"/>
            <w:tcBorders>
              <w:top w:val="nil"/>
              <w:left w:val="nil"/>
              <w:right w:val="nil"/>
            </w:tcBorders>
            <w:vAlign w:val="bottom"/>
          </w:tcPr>
          <w:p>
            <w:pPr>
              <w:pStyle w:val="Normal"/>
              <w:widowControl w:val="false"/>
              <w:tabs>
                <w:tab w:val="clear" w:pos="708"/>
                <w:tab w:val="left" w:pos="1440" w:leader="none"/>
              </w:tabs>
              <w:suppressAutoHyphens w:val="true"/>
              <w:snapToGrid w:val="false"/>
              <w:spacing w:lineRule="auto" w:line="276" w:before="0" w:after="0"/>
              <w:jc w:val="both"/>
              <w:rPr>
                <w:rFonts w:cs="Arial"/>
                <w:color w:val="000000"/>
                <w:szCs w:val="20"/>
              </w:rPr>
            </w:pPr>
            <w:r>
              <w:rPr>
                <w:rFonts w:cs="Arial"/>
                <w:color w:val="000000"/>
                <w:kern w:val="0"/>
                <w:szCs w:val="20"/>
                <w:lang w:val="pt-BR" w:bidi="ar-SA"/>
              </w:rPr>
              <w:t>Ativo Circulante</w:t>
            </w:r>
          </w:p>
        </w:tc>
      </w:tr>
      <w:tr>
        <w:trPr/>
        <w:tc>
          <w:tcPr>
            <w:tcW w:w="2235" w:type="dxa"/>
            <w:vMerge w:val="continue"/>
            <w:tcBorders>
              <w:top w:val="nil"/>
              <w:left w:val="nil"/>
              <w:bottom w:val="nil"/>
              <w:right w:val="nil"/>
            </w:tcBorders>
          </w:tcPr>
          <w:p>
            <w:pPr>
              <w:pStyle w:val="Normal"/>
              <w:widowControl w:val="false"/>
              <w:tabs>
                <w:tab w:val="clear" w:pos="708"/>
                <w:tab w:val="left" w:pos="1440" w:leader="none"/>
              </w:tabs>
              <w:suppressAutoHyphens w:val="true"/>
              <w:snapToGrid w:val="false"/>
              <w:spacing w:lineRule="auto" w:line="276" w:before="0" w:after="0"/>
              <w:jc w:val="both"/>
              <w:rPr>
                <w:rFonts w:cs="Arial"/>
                <w:color w:val="000000"/>
                <w:szCs w:val="20"/>
              </w:rPr>
            </w:pPr>
            <w:r>
              <w:rPr>
                <w:rFonts w:cs="Arial"/>
                <w:color w:val="000000"/>
                <w:szCs w:val="20"/>
              </w:rPr>
            </w:r>
          </w:p>
        </w:tc>
        <w:tc>
          <w:tcPr>
            <w:tcW w:w="2550" w:type="dxa"/>
            <w:tcBorders>
              <w:left w:val="nil"/>
              <w:bottom w:val="nil"/>
              <w:right w:val="nil"/>
            </w:tcBorders>
          </w:tcPr>
          <w:p>
            <w:pPr>
              <w:pStyle w:val="Normal"/>
              <w:widowControl w:val="false"/>
              <w:tabs>
                <w:tab w:val="clear" w:pos="708"/>
                <w:tab w:val="left" w:pos="1440" w:leader="none"/>
              </w:tabs>
              <w:suppressAutoHyphens w:val="true"/>
              <w:snapToGrid w:val="false"/>
              <w:spacing w:lineRule="auto" w:line="276" w:before="0" w:after="0"/>
              <w:jc w:val="both"/>
              <w:rPr>
                <w:rFonts w:cs="Arial"/>
                <w:color w:val="000000"/>
                <w:szCs w:val="20"/>
              </w:rPr>
            </w:pPr>
            <w:r>
              <w:rPr>
                <w:rFonts w:cs="Arial"/>
                <w:color w:val="000000"/>
                <w:kern w:val="0"/>
                <w:szCs w:val="20"/>
                <w:lang w:val="pt-BR" w:bidi="ar-SA"/>
              </w:rPr>
              <w:t>Passivo Circulante</w:t>
            </w:r>
          </w:p>
        </w:tc>
      </w:tr>
    </w:tbl>
    <w:p>
      <w:pPr>
        <w:pStyle w:val="Normal"/>
        <w:numPr>
          <w:ilvl w:val="2"/>
          <w:numId w:val="4"/>
        </w:numPr>
        <w:tabs>
          <w:tab w:val="clear" w:pos="708"/>
          <w:tab w:val="left" w:pos="1440" w:leader="none"/>
        </w:tabs>
        <w:snapToGrid w:val="false"/>
        <w:spacing w:lineRule="auto" w:line="276" w:before="120" w:after="120"/>
        <w:jc w:val="both"/>
        <w:rPr>
          <w:rFonts w:cs="Arial"/>
          <w:color w:val="000000"/>
          <w:szCs w:val="20"/>
        </w:rPr>
      </w:pPr>
      <w:r>
        <w:rPr>
          <w:rFonts w:cs="Arial"/>
          <w:color w:val="000000"/>
          <w:szCs w:val="20"/>
        </w:rPr>
        <w:t>As empresas, que apresentarem resultado inferior ou igual a 1(um) em qualquer dos índices de Liquidez Geral (LG), Solvência Geral (SG) e Liquidez Corrente (LC), deverão comprovar capital ou patrimônio líquido mínimo de</w:t>
      </w:r>
      <w:r>
        <w:rPr>
          <w:rFonts w:cs="Arial"/>
          <w:i/>
          <w:iCs/>
          <w:color w:val="FF0000"/>
          <w:szCs w:val="20"/>
        </w:rPr>
        <w:t xml:space="preserve"> ...(....) </w:t>
      </w:r>
      <w:r>
        <w:rPr>
          <w:rFonts w:cs="Arial"/>
          <w:color w:val="000000"/>
          <w:szCs w:val="20"/>
        </w:rPr>
        <w:t xml:space="preserve">do valor total estimado da contratação ou do item pertinente. </w:t>
      </w:r>
    </w:p>
    <w:p>
      <w:pPr>
        <w:pStyle w:val="Quote"/>
        <w:spacing w:lineRule="auto" w:line="276"/>
        <w:rPr>
          <w:rFonts w:cs="Arial"/>
        </w:rPr>
      </w:pPr>
      <w:r>
        <w:rPr>
          <w:rFonts w:cs="Arial"/>
          <w:b/>
          <w:szCs w:val="20"/>
        </w:rPr>
        <w:t>Nota Explicativa:</w:t>
      </w:r>
      <w:r>
        <w:rPr>
          <w:rFonts w:cs="Arial"/>
          <w:szCs w:val="20"/>
        </w:rPr>
        <w:t xml:space="preserve"> A fixação do percentual referente ao patrimônio líquido se insere na esfera de atuação discricionária da Administração até o limite legal de 10% (dez por cento) do valor estimado da contratação (art. 69, § 4º da Lei nº 14.133, de 2021).</w:t>
      </w:r>
    </w:p>
    <w:p>
      <w:pPr>
        <w:pStyle w:val="Normal"/>
        <w:numPr>
          <w:ilvl w:val="2"/>
          <w:numId w:val="4"/>
        </w:numPr>
        <w:tabs>
          <w:tab w:val="clear" w:pos="708"/>
          <w:tab w:val="left" w:pos="1440" w:leader="none"/>
        </w:tabs>
        <w:snapToGrid w:val="false"/>
        <w:spacing w:lineRule="auto" w:line="276" w:before="120" w:after="120"/>
        <w:jc w:val="both"/>
        <w:rPr>
          <w:rFonts w:cs="Arial"/>
          <w:i/>
          <w:i/>
          <w:iCs/>
          <w:color w:val="FF0000"/>
          <w:lang w:eastAsia="en-US"/>
        </w:rPr>
      </w:pPr>
      <w:r>
        <w:rPr>
          <w:rFonts w:cs="Arial"/>
          <w:i/>
          <w:iCs/>
          <w:color w:val="FF0000"/>
          <w:lang w:eastAsia="en-US"/>
        </w:rPr>
        <w:t>O atendimento dos índices econômicos previstos neste item deverá ser atestado mediante declaração assinada por profissional habilitado da área contábil, apresentada pelo fornecedor.</w:t>
      </w:r>
    </w:p>
    <w:p>
      <w:pPr>
        <w:pStyle w:val="Quote"/>
        <w:spacing w:lineRule="auto" w:line="276"/>
        <w:rPr>
          <w:rFonts w:cs="Arial"/>
        </w:rPr>
      </w:pPr>
      <w:r>
        <w:rPr>
          <w:rFonts w:cs="Arial"/>
          <w:b/>
          <w:bCs/>
        </w:rPr>
        <w:t xml:space="preserve">Nota Explicativa: </w:t>
      </w:r>
      <w:r>
        <w:rPr>
          <w:rFonts w:cs="Arial"/>
        </w:rPr>
        <w:t>A previsão do subitem 3.3.2 decorre do disposto no art. 69, §1º da Lei nº 14.133/21, podendo a Administração optar por tal disposição, desde que justificadamente.</w:t>
      </w:r>
    </w:p>
    <w:p>
      <w:pPr>
        <w:pStyle w:val="Normal"/>
        <w:rPr>
          <w:rFonts w:cs="Arial"/>
          <w:lang w:eastAsia="en-US"/>
        </w:rPr>
      </w:pPr>
      <w:r>
        <w:rPr>
          <w:rFonts w:cs="Arial"/>
          <w:lang w:eastAsia="en-US"/>
        </w:rPr>
      </w:r>
    </w:p>
    <w:p>
      <w:pPr>
        <w:pStyle w:val="PADRO"/>
        <w:keepNext w:val="false"/>
        <w:widowControl/>
        <w:numPr>
          <w:ilvl w:val="0"/>
          <w:numId w:val="4"/>
        </w:numPr>
        <w:spacing w:before="120" w:after="120"/>
        <w:rPr>
          <w:rFonts w:ascii="Arial" w:hAnsi="Arial" w:cs="Arial"/>
          <w:b/>
          <w:b/>
        </w:rPr>
      </w:pPr>
      <w:r>
        <w:rPr>
          <w:rFonts w:cs="Arial" w:ascii="Arial" w:hAnsi="Arial"/>
          <w:b/>
          <w:color w:val="000000"/>
          <w:szCs w:val="20"/>
        </w:rPr>
        <w:t>Qualificação</w:t>
      </w:r>
      <w:r>
        <w:rPr>
          <w:rFonts w:cs="Arial" w:ascii="Arial" w:hAnsi="Arial"/>
          <w:b/>
        </w:rPr>
        <w:t xml:space="preserve"> Técnica</w:t>
      </w:r>
    </w:p>
    <w:p>
      <w:pPr>
        <w:pStyle w:val="Quote"/>
        <w:spacing w:lineRule="auto" w:line="276"/>
        <w:rPr>
          <w:rFonts w:cs="Arial"/>
        </w:rPr>
      </w:pPr>
      <w:r>
        <w:rPr>
          <w:rFonts w:cs="Arial"/>
          <w:b/>
        </w:rPr>
        <w:t xml:space="preserve">Nota Explicativa: </w:t>
      </w:r>
      <w:r>
        <w:rPr>
          <w:rFonts w:cs="Arial"/>
        </w:rPr>
        <w:t xml:space="preserve">Já se indicou no início que a documentação de habilitação é passível de adaptações pela área demandante ante o tipo de contratação que se pretende fazer. Essa observação é ainda mais aplicável quando se fala em qualificação técnica, já que esta variará bastante conforme o caso, desde uma aquisição até uma obra. A redação ora apresentada visa a dispor sobre as possibilidades gerais trazidas pela lei, mas a área competente do órgão contratante deverá, </w:t>
      </w:r>
      <w:r>
        <w:rPr>
          <w:rFonts w:cs="Arial"/>
          <w:b/>
          <w:u w:val="single"/>
        </w:rPr>
        <w:t>NECESSARIAMENTE</w:t>
      </w:r>
      <w:r>
        <w:rPr>
          <w:rFonts w:cs="Arial"/>
        </w:rPr>
        <w:t xml:space="preserve">, ajustar </w:t>
      </w:r>
      <w:r>
        <w:rPr>
          <w:rFonts w:cs="Arial"/>
          <w:b/>
          <w:u w:val="single"/>
        </w:rPr>
        <w:t>TODAS</w:t>
      </w:r>
      <w:r>
        <w:rPr>
          <w:rFonts w:cs="Arial"/>
        </w:rPr>
        <w:t xml:space="preserve"> as cláusulas aqui presentes à realidade de sua demanda específica, justificadamente.</w:t>
      </w:r>
    </w:p>
    <w:p>
      <w:pPr>
        <w:pStyle w:val="PADRO"/>
        <w:keepNext w:val="false"/>
        <w:widowControl/>
        <w:numPr>
          <w:ilvl w:val="1"/>
          <w:numId w:val="4"/>
        </w:numPr>
        <w:spacing w:before="120" w:after="120"/>
        <w:rPr>
          <w:highlight w:val="none"/>
          <w:shd w:fill="81D41A" w:val="clear"/>
        </w:rPr>
      </w:pPr>
      <w:r>
        <w:rPr>
          <w:rFonts w:ascii="Arial" w:hAnsi="Arial"/>
          <w:shd w:fill="FFFF00" w:val="clear"/>
        </w:rPr>
        <w:t>A empresa de manutenção de extintores deverá ser credenciada ao Corpo de Bombeiros Militar do Estado de Goiás – CBMGO, conforme determina o item 5.3.2 da Norma Técnica NT 39/2021 – CBMGO.</w:t>
      </w:r>
    </w:p>
    <w:p>
      <w:pPr>
        <w:pStyle w:val="Quote"/>
        <w:spacing w:lineRule="auto" w:line="276"/>
        <w:rPr>
          <w:rFonts w:cs="Arial"/>
          <w:szCs w:val="20"/>
        </w:rPr>
      </w:pPr>
      <w:r>
        <w:rPr>
          <w:rFonts w:cs="Arial"/>
          <w:b/>
          <w:szCs w:val="20"/>
        </w:rPr>
        <w:t>Nota explicativa</w:t>
      </w:r>
      <w:r>
        <w:rPr>
          <w:rFonts w:cs="Arial"/>
          <w:szCs w:val="20"/>
        </w:rPr>
        <w:t xml:space="preserve">: Tal exigência só deve ser formulada quando, por determinação legal, o exercício de determinada atividade afeta ao objeto contratual esteja sujeita à fiscalização da entidade profissional competente, a ser indicada expressamente no dispositivo. </w:t>
      </w:r>
    </w:p>
    <w:p>
      <w:pPr>
        <w:pStyle w:val="Quote"/>
        <w:spacing w:lineRule="auto" w:line="276"/>
        <w:rPr>
          <w:rFonts w:cs="Arial"/>
          <w:bCs/>
          <w:szCs w:val="20"/>
        </w:rPr>
      </w:pPr>
      <w:r>
        <w:rPr>
          <w:rFonts w:cs="Arial"/>
          <w:szCs w:val="20"/>
        </w:rPr>
        <w:t>Quando não existir determinação legal atrelando o exercício de determinada atividade ao correspondente conselho de fiscalização profissional, a exigência de registro ou inscrição, para fim de habilitação, torna-se inaplicável. Nessas situações, o referido subitem deve ser excluído.</w:t>
      </w:r>
    </w:p>
    <w:p>
      <w:pPr>
        <w:pStyle w:val="PADRO"/>
        <w:keepNext w:val="false"/>
        <w:widowControl/>
        <w:numPr>
          <w:ilvl w:val="1"/>
          <w:numId w:val="4"/>
        </w:numPr>
        <w:spacing w:before="120" w:after="120"/>
        <w:rPr>
          <w:rFonts w:ascii="Arial" w:hAnsi="Arial" w:cs="Arial"/>
          <w:bCs/>
          <w:color w:val="000000"/>
          <w:szCs w:val="20"/>
        </w:rPr>
      </w:pPr>
      <w:bookmarkStart w:id="5" w:name="_Hlk519176340"/>
      <w:bookmarkEnd w:id="5"/>
      <w:r>
        <w:rPr>
          <w:rFonts w:cs="Arial" w:ascii="Arial" w:hAnsi="Arial"/>
          <w:color w:val="000000"/>
          <w:szCs w:val="20"/>
        </w:rPr>
        <w:t xml:space="preserve">Comprovação de aptidão para a prestação dos serviços em características, quantidades e prazos </w:t>
      </w:r>
      <w:r>
        <w:rPr>
          <w:rFonts w:cs="Arial" w:ascii="Arial" w:hAnsi="Arial"/>
          <w:szCs w:val="20"/>
        </w:rPr>
        <w:t>compatíveis</w:t>
      </w:r>
      <w:r>
        <w:rPr>
          <w:rFonts w:cs="Arial" w:ascii="Arial" w:hAnsi="Arial"/>
          <w:color w:val="000000"/>
          <w:szCs w:val="20"/>
        </w:rPr>
        <w:t xml:space="preserve"> com o objeto desta dispensa, ou com o item pertinente, mediante a apresentação de atestado(s) fornecido(s) por pessoas jurídicas de direito público ou privado. </w:t>
      </w:r>
    </w:p>
    <w:p>
      <w:pPr>
        <w:pStyle w:val="PADRO"/>
        <w:keepNext w:val="false"/>
        <w:widowControl/>
        <w:numPr>
          <w:ilvl w:val="2"/>
          <w:numId w:val="4"/>
        </w:numPr>
        <w:spacing w:before="120" w:after="120"/>
        <w:rPr>
          <w:rFonts w:ascii="Arial" w:hAnsi="Arial" w:cs="Arial"/>
          <w:bCs/>
          <w:color w:val="000000"/>
          <w:szCs w:val="20"/>
        </w:rPr>
      </w:pPr>
      <w:r>
        <w:rPr>
          <w:rFonts w:cs="Arial" w:ascii="Arial" w:hAnsi="Arial"/>
          <w:color w:val="000000"/>
          <w:szCs w:val="20"/>
        </w:rPr>
        <w:t>Para fins da comprovação de que trata este subitem, os atestados deverão dizer respeito a contratos executados com as seguintes características mínimas:</w:t>
      </w:r>
    </w:p>
    <w:p>
      <w:pPr>
        <w:pStyle w:val="PADRO"/>
        <w:keepNext w:val="false"/>
        <w:widowControl/>
        <w:numPr>
          <w:ilvl w:val="3"/>
          <w:numId w:val="4"/>
        </w:numPr>
        <w:spacing w:before="120" w:after="120"/>
        <w:rPr>
          <w:rFonts w:ascii="Arial" w:hAnsi="Arial" w:cs="Arial"/>
          <w:color w:val="FF0000"/>
          <w:szCs w:val="20"/>
        </w:rPr>
      </w:pPr>
      <w:r>
        <w:rPr>
          <w:rFonts w:cs="Arial" w:ascii="Arial" w:hAnsi="Arial"/>
          <w:color w:val="FF0000"/>
          <w:szCs w:val="20"/>
        </w:rPr>
        <w:t xml:space="preserve">Deverá haver a comprovação da experiência mínima de..... anos na prestação dos serviços, sendo aceito o somatório de atestados de períodos diferentes, não </w:t>
      </w:r>
      <w:r>
        <w:rPr>
          <w:rFonts w:cs="Arial" w:ascii="Arial" w:hAnsi="Arial"/>
          <w:color w:val="FF0000"/>
        </w:rPr>
        <w:t>havendo</w:t>
      </w:r>
      <w:r>
        <w:rPr>
          <w:rFonts w:cs="Arial" w:ascii="Arial" w:hAnsi="Arial"/>
          <w:color w:val="FF0000"/>
          <w:szCs w:val="20"/>
        </w:rPr>
        <w:t xml:space="preserve"> obrigatoriedade de os ......  anos serem ininterruptos.</w:t>
      </w:r>
    </w:p>
    <w:p>
      <w:pPr>
        <w:pStyle w:val="PADRO"/>
        <w:keepNext w:val="false"/>
        <w:widowControl/>
        <w:numPr>
          <w:ilvl w:val="3"/>
          <w:numId w:val="4"/>
        </w:numPr>
        <w:spacing w:before="120" w:after="120"/>
        <w:rPr>
          <w:rFonts w:ascii="Arial" w:hAnsi="Arial" w:cs="Arial"/>
          <w:color w:val="FF0000"/>
          <w:szCs w:val="20"/>
        </w:rPr>
      </w:pPr>
      <w:r>
        <w:rPr>
          <w:rFonts w:cs="Arial" w:ascii="Arial" w:hAnsi="Arial"/>
          <w:color w:val="FF0000"/>
          <w:szCs w:val="20"/>
        </w:rPr>
        <w:t>....</w:t>
      </w:r>
    </w:p>
    <w:p>
      <w:pPr>
        <w:pStyle w:val="PADRO"/>
        <w:keepNext w:val="false"/>
        <w:widowControl/>
        <w:numPr>
          <w:ilvl w:val="3"/>
          <w:numId w:val="4"/>
        </w:numPr>
        <w:spacing w:before="120" w:after="120"/>
        <w:rPr>
          <w:rFonts w:ascii="Arial" w:hAnsi="Arial" w:cs="Arial"/>
          <w:color w:val="FF0000"/>
          <w:szCs w:val="20"/>
        </w:rPr>
      </w:pPr>
      <w:r>
        <w:rPr>
          <w:rFonts w:cs="Arial" w:ascii="Arial" w:hAnsi="Arial"/>
          <w:color w:val="FF0000"/>
          <w:szCs w:val="20"/>
        </w:rPr>
        <w:t>....</w:t>
      </w:r>
    </w:p>
    <w:p>
      <w:pPr>
        <w:pStyle w:val="PADRO"/>
        <w:keepNext w:val="false"/>
        <w:widowControl/>
        <w:numPr>
          <w:ilvl w:val="3"/>
          <w:numId w:val="4"/>
        </w:numPr>
        <w:spacing w:before="120" w:after="120"/>
        <w:rPr>
          <w:rFonts w:ascii="Arial" w:hAnsi="Arial" w:cs="Arial"/>
          <w:color w:val="FF0000"/>
          <w:szCs w:val="20"/>
        </w:rPr>
      </w:pPr>
      <w:r>
        <w:rPr>
          <w:rFonts w:cs="Arial" w:ascii="Arial" w:hAnsi="Arial"/>
          <w:color w:val="FF0000"/>
          <w:szCs w:val="20"/>
        </w:rPr>
        <w:t>...</w:t>
      </w:r>
    </w:p>
    <w:p>
      <w:pPr>
        <w:pStyle w:val="Normal"/>
        <w:tabs>
          <w:tab w:val="clear" w:pos="708"/>
          <w:tab w:val="left" w:pos="1440" w:leader="none"/>
        </w:tabs>
        <w:snapToGrid w:val="false"/>
        <w:spacing w:lineRule="auto" w:line="276" w:before="120" w:after="120"/>
        <w:jc w:val="both"/>
        <w:rPr>
          <w:rFonts w:cs="Arial"/>
          <w:color w:val="000000"/>
          <w:szCs w:val="20"/>
        </w:rPr>
      </w:pPr>
      <w:r>
        <w:rPr>
          <w:rFonts w:cs="Arial"/>
          <w:color w:val="000000"/>
          <w:szCs w:val="20"/>
        </w:rPr>
      </w:r>
    </w:p>
    <w:p>
      <w:pPr>
        <w:pStyle w:val="Quote"/>
        <w:spacing w:lineRule="auto" w:line="276"/>
        <w:rPr>
          <w:rFonts w:cs="Arial"/>
          <w:szCs w:val="20"/>
        </w:rPr>
      </w:pPr>
      <w:r>
        <w:rPr>
          <w:rFonts w:cs="Arial"/>
          <w:b/>
          <w:szCs w:val="20"/>
        </w:rPr>
        <w:t xml:space="preserve">Nota Explicativa 1: </w:t>
      </w:r>
      <w:r>
        <w:rPr>
          <w:rFonts w:cs="Arial"/>
          <w:szCs w:val="20"/>
        </w:rPr>
        <w:t>Conforme Acórdão nº 914/2019-Plenário do Tribunal de Contas da União, é obrigatório o estabelecimento de parâmetros objetivos para análise da comprovação (atestados de capacidade técnico-operacional) de que o fornecedor já tenha fornecido bens pertinentes e compatíveis em características, quantidades e prazos com o objeto da dispensa. Nesse sentido, é consignado no acórdão a seguinte recomendação:</w:t>
      </w:r>
    </w:p>
    <w:p>
      <w:pPr>
        <w:pStyle w:val="Quote"/>
        <w:spacing w:lineRule="auto" w:line="276"/>
        <w:rPr>
          <w:rFonts w:cs="Arial"/>
          <w:szCs w:val="20"/>
        </w:rPr>
      </w:pPr>
      <w:r>
        <w:rPr>
          <w:rFonts w:cs="Arial"/>
          <w:szCs w:val="20"/>
        </w:rPr>
        <w:t>“</w:t>
      </w:r>
      <w:r>
        <w:rPr>
          <w:rFonts w:cs="Arial"/>
          <w:szCs w:val="20"/>
        </w:rPr>
        <w:t>9.3.2. estabeleça no Aviso da nova licitação, de forma clara e objetiva, os requisitos de qualificação técnica que deverão ser demonstrados pelos licitantes, os quais deverão estar baseados em estudos técnicos os quais evidenciem que as exigências constituem o mínimo necessário à garantia da regular execução contratual, ponderados seus impactos em relação à competitividade do certame;”</w:t>
      </w:r>
    </w:p>
    <w:p>
      <w:pPr>
        <w:pStyle w:val="Quote"/>
        <w:spacing w:lineRule="auto" w:line="276"/>
        <w:rPr>
          <w:rFonts w:cs="Arial"/>
          <w:szCs w:val="20"/>
        </w:rPr>
      </w:pPr>
      <w:r>
        <w:rPr>
          <w:rFonts w:cs="Arial"/>
          <w:b/>
          <w:szCs w:val="20"/>
        </w:rPr>
        <w:t xml:space="preserve">Nota explicativa 2: </w:t>
      </w:r>
      <w:r>
        <w:rPr>
          <w:rFonts w:cs="Arial"/>
          <w:szCs w:val="20"/>
        </w:rPr>
        <w:t xml:space="preserve">A possibilidade de exigência de período de experiência contida no subitem 4.2.1.1 é </w:t>
      </w:r>
      <w:r>
        <w:rPr>
          <w:rFonts w:cs="Arial"/>
          <w:b/>
          <w:szCs w:val="20"/>
          <w:u w:val="single"/>
        </w:rPr>
        <w:t>restrita a serviços contínuos</w:t>
      </w:r>
      <w:r>
        <w:rPr>
          <w:rFonts w:cs="Arial"/>
          <w:szCs w:val="20"/>
          <w:u w:val="single"/>
        </w:rPr>
        <w:t>,</w:t>
      </w:r>
      <w:r>
        <w:rPr>
          <w:rFonts w:cs="Arial"/>
          <w:szCs w:val="20"/>
        </w:rPr>
        <w:t xml:space="preserve"> e tem limite máximo de 3 anos, tudo com esteio no art. 67, §5º da Lei nº 14.133/21. Deve a área competente dimensionar se há necessidade de tal exigência e, caso positivo, qual período mostra-se mais adequado.</w:t>
      </w:r>
    </w:p>
    <w:p>
      <w:pPr>
        <w:pStyle w:val="Quote"/>
        <w:spacing w:lineRule="auto" w:line="276"/>
        <w:rPr>
          <w:rFonts w:cs="Arial"/>
          <w:szCs w:val="20"/>
        </w:rPr>
      </w:pPr>
      <w:r>
        <w:rPr>
          <w:rFonts w:cs="Arial"/>
          <w:b/>
          <w:szCs w:val="20"/>
        </w:rPr>
        <w:t>Nota Explicativa 3</w:t>
      </w:r>
      <w:r>
        <w:rPr>
          <w:rFonts w:cs="Arial"/>
          <w:szCs w:val="20"/>
        </w:rPr>
        <w:t>: Registre-se que só é possível a exigência de atestado quanto às parcelas de maior relevância, entendidas essas como as que possuem valor individual igual ou superior a 4% do valor total estimado da contratação (art. 67, §1º).</w:t>
      </w:r>
    </w:p>
    <w:p>
      <w:pPr>
        <w:pStyle w:val="Quote"/>
        <w:spacing w:lineRule="auto" w:line="276"/>
        <w:rPr>
          <w:rFonts w:cs="Arial"/>
          <w:szCs w:val="20"/>
        </w:rPr>
      </w:pPr>
      <w:r>
        <w:rPr>
          <w:rFonts w:cs="Arial"/>
          <w:b/>
          <w:szCs w:val="20"/>
        </w:rPr>
        <w:t xml:space="preserve">Nota Explicativa 4: </w:t>
      </w:r>
      <w:r>
        <w:rPr>
          <w:rFonts w:cs="Arial"/>
          <w:szCs w:val="20"/>
        </w:rPr>
        <w:t>Havendo a previsão de quantitativos mínimos como característica a compor os atestados, observar o limite máximo de 50% da quantidade que se pretende efetivamente contratar, conforme art. 67, §2º.</w:t>
      </w:r>
    </w:p>
    <w:p>
      <w:pPr>
        <w:pStyle w:val="Normal"/>
        <w:rPr>
          <w:rFonts w:cs="Arial"/>
        </w:rPr>
      </w:pPr>
      <w:r>
        <w:rPr>
          <w:rFonts w:cs="Arial"/>
        </w:rPr>
      </w:r>
    </w:p>
    <w:p>
      <w:pPr>
        <w:pStyle w:val="PADRO"/>
        <w:keepNext w:val="false"/>
        <w:widowControl/>
        <w:numPr>
          <w:ilvl w:val="3"/>
          <w:numId w:val="4"/>
        </w:numPr>
        <w:spacing w:before="120" w:after="120"/>
        <w:rPr>
          <w:rFonts w:ascii="Arial" w:hAnsi="Arial" w:cs="Arial"/>
          <w:color w:val="000000"/>
          <w:szCs w:val="20"/>
        </w:rPr>
      </w:pPr>
      <w:bookmarkStart w:id="6" w:name="_Hlk5191763401"/>
      <w:bookmarkEnd w:id="6"/>
      <w:r>
        <w:rPr>
          <w:rFonts w:cs="Arial" w:ascii="Arial" w:hAnsi="Arial"/>
          <w:color w:val="000000"/>
          <w:szCs w:val="20"/>
        </w:rPr>
        <w:t xml:space="preserve">Os atestados deverão referir-se a serviços prestados no âmbito de sua atividade econômica principal ou secundária especificadas no contrato social vigente; </w:t>
      </w:r>
      <w:bookmarkStart w:id="7" w:name="_Hlk519177818"/>
      <w:bookmarkEnd w:id="7"/>
    </w:p>
    <w:p>
      <w:pPr>
        <w:pStyle w:val="PADRO"/>
        <w:keepNext w:val="false"/>
        <w:widowControl/>
        <w:numPr>
          <w:ilvl w:val="3"/>
          <w:numId w:val="4"/>
        </w:numPr>
        <w:spacing w:before="120" w:after="120"/>
        <w:rPr>
          <w:highlight w:val="none"/>
          <w:shd w:fill="FFFF00" w:val="clear"/>
        </w:rPr>
      </w:pPr>
      <w:bookmarkStart w:id="8" w:name="_Hlk519177062"/>
      <w:bookmarkEnd w:id="8"/>
      <w:r>
        <w:rPr>
          <w:rFonts w:cs="Arial" w:ascii="Arial" w:hAnsi="Arial"/>
          <w:i/>
          <w:color w:val="FF0000"/>
          <w:szCs w:val="20"/>
          <w:shd w:fill="FFFF00" w:val="clear"/>
        </w:rPr>
        <w:t xml:space="preserve">Poderá ser admitida, para fins de comprovação de quantitativo mínimo do serviço, a apresentação de diferentes atestados de serviços executados de forma concomitante, pois essa situação se equivale, para fins de comprovação de capacidade técnico-operacional, a uma única contratação. </w:t>
      </w:r>
      <w:r>
        <w:rPr>
          <w:rFonts w:cs="Arial" w:ascii="Arial" w:hAnsi="Arial"/>
          <w:i/>
          <w:color w:val="FF0000"/>
          <w:szCs w:val="20"/>
          <w:shd w:fill="FFFF00" w:val="clear"/>
        </w:rPr>
        <w:t>(</w:t>
      </w:r>
      <w:r>
        <w:rPr>
          <w:rFonts w:cs="Arial" w:ascii="Arial" w:hAnsi="Arial"/>
          <w:b/>
          <w:bCs/>
          <w:i w:val="false"/>
          <w:iCs w:val="false"/>
          <w:color w:val="FF0000"/>
          <w:szCs w:val="20"/>
          <w:shd w:fill="FFFF00" w:val="clear"/>
        </w:rPr>
        <w:t>RETIRAR)</w:t>
      </w:r>
    </w:p>
    <w:p>
      <w:pPr>
        <w:pStyle w:val="PADRO"/>
        <w:keepNext w:val="false"/>
        <w:widowControl/>
        <w:numPr>
          <w:ilvl w:val="3"/>
          <w:numId w:val="4"/>
        </w:numPr>
        <w:spacing w:before="120" w:after="120"/>
        <w:rPr>
          <w:rFonts w:ascii="Arial" w:hAnsi="Arial" w:cs="Arial"/>
          <w:color w:val="000000"/>
          <w:szCs w:val="20"/>
        </w:rPr>
      </w:pPr>
      <w:r>
        <w:rPr>
          <w:rFonts w:cs="Arial" w:ascii="Arial" w:hAnsi="Arial"/>
          <w:color w:val="000000"/>
          <w:szCs w:val="20"/>
        </w:rPr>
        <w:t>O fornecedor disponibilizará todas as informações necessárias à comprovação da legitimidade dos atestados, apresentando, dentre outros documentos, cópia do contrato que deu suporte à contratação, endereço atual da contratante e local em que foram prestados os serviços.</w:t>
      </w:r>
    </w:p>
    <w:p>
      <w:pPr>
        <w:pStyle w:val="Quote"/>
        <w:spacing w:lineRule="auto" w:line="276"/>
        <w:rPr>
          <w:rFonts w:cs="Arial"/>
          <w:bCs/>
          <w:iCs w:val="false"/>
          <w:color w:val="auto"/>
          <w:szCs w:val="20"/>
        </w:rPr>
      </w:pPr>
      <w:r>
        <w:rPr>
          <w:rFonts w:cs="Arial"/>
          <w:b/>
          <w:iCs w:val="false"/>
          <w:color w:val="auto"/>
          <w:szCs w:val="20"/>
        </w:rPr>
        <w:t xml:space="preserve">Nota Explicativa: </w:t>
      </w:r>
      <w:r>
        <w:rPr>
          <w:rFonts w:cs="Arial"/>
          <w:bCs/>
          <w:iCs w:val="false"/>
          <w:color w:val="000000"/>
          <w:szCs w:val="20"/>
          <w:shd w:fill="81D41A" w:val="clear"/>
        </w:rPr>
        <w:t>Incluir esse item no caso de dispensa para obras ou serviços</w:t>
      </w:r>
      <w:r>
        <w:rPr>
          <w:rFonts w:cs="Arial"/>
          <w:bCs/>
          <w:iCs w:val="false"/>
          <w:color w:val="auto"/>
          <w:szCs w:val="20"/>
        </w:rPr>
        <w:t xml:space="preserve"> (incluindo serviços acessórios a aquisições) em que o conhecimento do local seja julgado como imprescindível, nos termos dos arts. 63, §§2 e 3º e 67, VI da Lei nº 14.133/21.</w:t>
      </w:r>
    </w:p>
    <w:p>
      <w:pPr>
        <w:pStyle w:val="PADRO"/>
        <w:keepNext w:val="false"/>
        <w:widowControl/>
        <w:numPr>
          <w:ilvl w:val="1"/>
          <w:numId w:val="4"/>
        </w:numPr>
        <w:spacing w:before="120" w:after="120"/>
        <w:rPr>
          <w:highlight w:val="none"/>
          <w:shd w:fill="FFFF00" w:val="clear"/>
        </w:rPr>
      </w:pPr>
      <w:r>
        <w:rPr>
          <w:rFonts w:cs="Arial" w:ascii="Arial" w:hAnsi="Arial"/>
          <w:color w:val="FF0000"/>
          <w:shd w:fill="FFFF00" w:val="clear"/>
        </w:rPr>
        <w:t>Prova</w:t>
      </w:r>
      <w:r>
        <w:rPr>
          <w:rFonts w:cs="Arial" w:ascii="Arial" w:hAnsi="Arial"/>
          <w:bCs/>
          <w:i/>
          <w:color w:val="FF0000"/>
          <w:szCs w:val="20"/>
          <w:shd w:fill="FFFF00" w:val="clear"/>
        </w:rPr>
        <w:t xml:space="preserve"> de atendimento aos requisitos da Norma Técnica 39/2021 do Corpo de Bombeiro do Estado de Goias – CBMGO.,</w:t>
      </w:r>
    </w:p>
    <w:p>
      <w:pPr>
        <w:pStyle w:val="Quote"/>
        <w:spacing w:lineRule="auto" w:line="276"/>
        <w:rPr>
          <w:rFonts w:cs="Arial"/>
          <w:szCs w:val="20"/>
        </w:rPr>
      </w:pPr>
      <w:r>
        <w:rPr>
          <w:rFonts w:cs="Arial"/>
          <w:b/>
          <w:szCs w:val="20"/>
        </w:rPr>
        <w:t>Nota Explicativa:</w:t>
      </w:r>
      <w:r>
        <w:rPr>
          <w:rFonts w:cs="Arial"/>
          <w:szCs w:val="20"/>
        </w:rPr>
        <w:t xml:space="preserve"> Em havendo legislação especial incidente sobre a matéria, que preveja requisitos de qualificação técnica específicos, estes podem ser mencionados neste item do Aviso de Contratação Direta.</w:t>
      </w:r>
    </w:p>
    <w:p>
      <w:pPr>
        <w:pStyle w:val="Normal"/>
        <w:rPr>
          <w:rFonts w:cs="Arial"/>
          <w:lang w:eastAsia="en-US"/>
        </w:rPr>
      </w:pPr>
      <w:r>
        <w:rPr>
          <w:rFonts w:cs="Arial"/>
          <w:lang w:eastAsia="en-US"/>
        </w:rPr>
      </w:r>
    </w:p>
    <w:p>
      <w:pPr>
        <w:pStyle w:val="Quote"/>
        <w:pBdr>
          <w:top w:val="single" w:sz="4" w:space="1" w:color="1F497D"/>
          <w:left w:val="single" w:sz="4" w:space="4" w:color="1F497D"/>
          <w:bottom w:val="single" w:sz="4" w:space="0" w:color="1F497D"/>
          <w:right w:val="single" w:sz="4" w:space="4" w:color="1F497D"/>
        </w:pBdr>
        <w:spacing w:lineRule="auto" w:line="276"/>
        <w:rPr>
          <w:rFonts w:eastAsia="Arial" w:cs="Arial"/>
          <w:szCs w:val="20"/>
        </w:rPr>
      </w:pPr>
      <w:r>
        <w:rPr>
          <w:rFonts w:cs="Arial"/>
          <w:b/>
          <w:szCs w:val="20"/>
        </w:rPr>
        <w:t xml:space="preserve">Nota Explicativa: </w:t>
      </w:r>
      <w:r>
        <w:rPr>
          <w:rFonts w:cs="Arial"/>
          <w:szCs w:val="20"/>
        </w:rPr>
        <w:t>Caso admitida a participação de cooperativas, utilizar as regras abaixo:</w:t>
      </w:r>
    </w:p>
    <w:p>
      <w:pPr>
        <w:pStyle w:val="PADRO"/>
        <w:keepNext w:val="false"/>
        <w:widowControl/>
        <w:numPr>
          <w:ilvl w:val="0"/>
          <w:numId w:val="0"/>
        </w:numPr>
        <w:spacing w:before="120" w:after="120"/>
        <w:ind w:hanging="0"/>
        <w:rPr/>
      </w:pPr>
      <w:r>
        <w:rPr/>
      </w:r>
    </w:p>
    <w:sectPr>
      <w:footerReference w:type="default" r:id="rId6"/>
      <w:type w:val="nextPage"/>
      <w:pgSz w:w="11906" w:h="16838"/>
      <w:pgMar w:left="1701" w:right="1701" w:gutter="0" w:header="0" w:top="1417" w:footer="708"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Calibri Light">
    <w:charset w:val="00"/>
    <w:family w:val="roman"/>
    <w:pitch w:val="variable"/>
  </w:font>
  <w:font w:name="Ecofont_Spranq_eco_Sans">
    <w:charset w:val="00"/>
    <w:family w:val="roman"/>
    <w:pitch w:val="variable"/>
  </w:font>
  <w:font w:name="Segoe UI">
    <w:charset w:val="00"/>
    <w:family w:val="roman"/>
    <w:pitch w:val="variable"/>
  </w:font>
  <w:font w:name="Liberation Sans">
    <w:altName w:val="Arial"/>
    <w:charset w:val="00"/>
    <w:family w:val="roman"/>
    <w:pitch w:val="variable"/>
  </w:font>
  <w:font w:name="Arial MT">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sz w:val="12"/>
        <w:szCs w:val="12"/>
      </w:rPr>
    </w:pPr>
    <w:r>
      <w:rPr>
        <w:sz w:val="12"/>
        <w:szCs w:val="12"/>
      </w:rPr>
      <w:t>Câmara Nacional de Modelos de Licitações e Contratos – CNMLC/CGU/AGU</w:t>
    </w:r>
  </w:p>
  <w:p>
    <w:pPr>
      <w:pStyle w:val="Rodap"/>
      <w:rPr>
        <w:sz w:val="12"/>
        <w:szCs w:val="12"/>
      </w:rPr>
    </w:pPr>
    <w:r>
      <w:rPr>
        <w:sz w:val="12"/>
        <w:szCs w:val="12"/>
      </w:rPr>
      <w:t>Aviso de Dispensa Eletrônica – Lei nº 14.133/21 e IN SEGES/ME nº 67/2021</w:t>
    </w:r>
  </w:p>
  <w:p>
    <w:pPr>
      <w:pStyle w:val="Rodap"/>
      <w:rPr/>
    </w:pPr>
    <w:r>
      <w:rPr>
        <w:sz w:val="12"/>
        <w:szCs w:val="12"/>
      </w:rPr>
      <w:t>Versão: Agosto/2021</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decimal"/>
      <w:lvlText w:val="%1.%2.%3."/>
      <w:lvlJc w:val="left"/>
      <w:pPr>
        <w:tabs>
          <w:tab w:val="num" w:pos="0"/>
        </w:tabs>
        <w:ind w:left="1224" w:hanging="504"/>
      </w:pPr>
      <w:rPr>
        <w:i w:val="false"/>
        <w:b w:val="false"/>
        <w:iCs/>
        <w:rFonts w:ascii="Arial" w:hAnsi="Arial" w:cs="Arial"/>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3">
    <w:lvl w:ilvl="0">
      <w:start w:val="1"/>
      <w:numFmt w:val="decimal"/>
      <w:lvlText w:val="%1."/>
      <w:lvlJc w:val="left"/>
      <w:pPr>
        <w:tabs>
          <w:tab w:val="num" w:pos="0"/>
        </w:tabs>
        <w:ind w:left="502" w:hanging="360"/>
      </w:pPr>
      <w:rPr>
        <w:dstrike w:val="false"/>
        <w:strike w:val="false"/>
        <w:i w:val="false"/>
        <w:b/>
      </w:rPr>
    </w:lvl>
    <w:lvl w:ilvl="1">
      <w:start w:val="1"/>
      <w:numFmt w:val="decimal"/>
      <w:lvlText w:val="%1.%2."/>
      <w:lvlJc w:val="left"/>
      <w:pPr>
        <w:tabs>
          <w:tab w:val="num" w:pos="0"/>
        </w:tabs>
        <w:ind w:left="858" w:hanging="432"/>
      </w:pPr>
      <w:rPr>
        <w:dstrike w:val="false"/>
        <w:strike w:val="false"/>
        <w:b w:val="false"/>
      </w:rPr>
    </w:lvl>
    <w:lvl w:ilvl="2">
      <w:start w:val="1"/>
      <w:numFmt w:val="decimal"/>
      <w:lvlText w:val="%1.%2.%3."/>
      <w:lvlJc w:val="left"/>
      <w:pPr>
        <w:tabs>
          <w:tab w:val="num" w:pos="0"/>
        </w:tabs>
        <w:ind w:left="1224" w:hanging="504"/>
      </w:pPr>
      <w:rPr>
        <w:dstrike w:val="false"/>
        <w:strike w:val="false"/>
        <w:i w:val="false"/>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lvl w:ilvl="0">
      <w:start w:val="1"/>
      <w:numFmt w:val="decimal"/>
      <w:lvlText w:val="%1"/>
      <w:lvlJc w:val="left"/>
      <w:pPr>
        <w:tabs>
          <w:tab w:val="num" w:pos="0"/>
        </w:tabs>
        <w:ind w:left="360" w:hanging="360"/>
      </w:pPr>
    </w:lvl>
    <w:lvl w:ilvl="1">
      <w:start w:val="1"/>
      <w:numFmt w:val="decimal"/>
      <w:lvlText w:val="%1.%2"/>
      <w:lvlJc w:val="left"/>
      <w:pPr>
        <w:tabs>
          <w:tab w:val="num" w:pos="0"/>
        </w:tabs>
        <w:ind w:left="927" w:hanging="360"/>
      </w:pPr>
      <w:rPr>
        <w:b w:val="false"/>
      </w:rPr>
    </w:lvl>
    <w:lvl w:ilvl="2">
      <w:start w:val="1"/>
      <w:numFmt w:val="decimal"/>
      <w:lvlText w:val="%1.%2.%3"/>
      <w:lvlJc w:val="left"/>
      <w:pPr>
        <w:tabs>
          <w:tab w:val="num" w:pos="0"/>
        </w:tabs>
        <w:ind w:left="1854" w:hanging="720"/>
      </w:pPr>
      <w:rPr>
        <w:b w:val="false"/>
      </w:r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decimal"/>
      <w:lvlText w:val="%1.%2.%3."/>
      <w:lvlJc w:val="left"/>
      <w:pPr>
        <w:tabs>
          <w:tab w:val="num" w:pos="0"/>
        </w:tabs>
        <w:ind w:left="1224" w:hanging="504"/>
      </w:pPr>
      <w:rPr>
        <w:i w:val="false"/>
        <w:b w:val="false"/>
        <w:iCs/>
        <w:rFonts w:ascii="Arial" w:hAnsi="Arial" w:cs="Arial"/>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lowerLetter"/>
      <w:lvlText w:val="%3)"/>
      <w:lvlJc w:val="left"/>
      <w:pPr>
        <w:tabs>
          <w:tab w:val="num" w:pos="0"/>
        </w:tabs>
        <w:ind w:left="1224" w:hanging="504"/>
      </w:pPr>
      <w:rPr>
        <w:i w:val="false"/>
        <w:b w:val="false"/>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10"/>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t-BR"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3d0e1a"/>
    <w:pPr>
      <w:widowControl/>
      <w:suppressAutoHyphens w:val="true"/>
      <w:bidi w:val="0"/>
      <w:spacing w:lineRule="auto" w:line="240" w:before="0" w:after="0"/>
      <w:jc w:val="left"/>
    </w:pPr>
    <w:rPr>
      <w:rFonts w:ascii="Arial" w:hAnsi="Arial" w:eastAsia="Times New Roman" w:cs="Tahoma"/>
      <w:color w:val="auto"/>
      <w:kern w:val="0"/>
      <w:sz w:val="20"/>
      <w:szCs w:val="24"/>
      <w:lang w:val="pt-BR" w:eastAsia="pt-BR" w:bidi="ar-SA"/>
    </w:rPr>
  </w:style>
  <w:style w:type="paragraph" w:styleId="Ttulo1">
    <w:name w:val="Heading 1"/>
    <w:basedOn w:val="Normal"/>
    <w:next w:val="Normal"/>
    <w:link w:val="Ttulo1Char"/>
    <w:uiPriority w:val="9"/>
    <w:qFormat/>
    <w:rsid w:val="009f7713"/>
    <w:pPr>
      <w:keepNext w:val="true"/>
      <w:keepLines/>
      <w:spacing w:before="240" w:after="0"/>
      <w:outlineLvl w:val="0"/>
    </w:pPr>
    <w:rPr>
      <w:rFonts w:ascii="Calibri Light" w:hAnsi="Calibri Light" w:eastAsia="" w:cs="" w:asciiTheme="majorHAnsi" w:cstheme="majorBidi" w:eastAsiaTheme="majorEastAsia" w:hAnsiTheme="majorHAnsi"/>
      <w:color w:val="2F5496" w:themeColor="accent1" w:themeShade="bf"/>
      <w:sz w:val="32"/>
      <w:szCs w:val="32"/>
    </w:rPr>
  </w:style>
  <w:style w:type="character" w:styleId="DefaultParagraphFont" w:default="1">
    <w:name w:val="Default Paragraph Font"/>
    <w:uiPriority w:val="1"/>
    <w:semiHidden/>
    <w:unhideWhenUsed/>
    <w:qFormat/>
    <w:rPr/>
  </w:style>
  <w:style w:type="character" w:styleId="CitaoChar" w:customStyle="1">
    <w:name w:val="Citação Char"/>
    <w:basedOn w:val="DefaultParagraphFont"/>
    <w:link w:val="Citao"/>
    <w:qFormat/>
    <w:rsid w:val="009f7713"/>
    <w:rPr>
      <w:rFonts w:ascii="Arial" w:hAnsi="Arial" w:eastAsia="Calibri" w:cs="Tahoma"/>
      <w:i/>
      <w:iCs/>
      <w:color w:val="000000"/>
      <w:sz w:val="20"/>
      <w:szCs w:val="24"/>
      <w:shd w:fill="FFFFCC" w:val="clear"/>
    </w:rPr>
  </w:style>
  <w:style w:type="character" w:styleId="Nivel01Char" w:customStyle="1">
    <w:name w:val="Nivel 01 Char"/>
    <w:basedOn w:val="Ttulo1Char"/>
    <w:link w:val="Nivel01"/>
    <w:qFormat/>
    <w:rsid w:val="009f7713"/>
    <w:rPr>
      <w:rFonts w:ascii="Arial" w:hAnsi="Arial" w:eastAsia="" w:cs="Times New Roman" w:eastAsiaTheme="majorEastAsia"/>
      <w:b/>
      <w:bCs/>
      <w:color w:val="000000"/>
      <w:sz w:val="20"/>
      <w:szCs w:val="20"/>
      <w:lang w:eastAsia="pt-BR"/>
    </w:rPr>
  </w:style>
  <w:style w:type="character" w:styleId="Ttulo1Char" w:customStyle="1">
    <w:name w:val="Título 1 Char"/>
    <w:basedOn w:val="DefaultParagraphFont"/>
    <w:link w:val="Ttulo1"/>
    <w:uiPriority w:val="9"/>
    <w:qFormat/>
    <w:rsid w:val="009f7713"/>
    <w:rPr>
      <w:rFonts w:ascii="Calibri Light" w:hAnsi="Calibri Light" w:eastAsia="" w:cs="" w:asciiTheme="majorHAnsi" w:cstheme="majorBidi" w:eastAsiaTheme="majorEastAsia" w:hAnsiTheme="majorHAnsi"/>
      <w:color w:val="2F5496" w:themeColor="accent1" w:themeShade="bf"/>
      <w:sz w:val="32"/>
      <w:szCs w:val="32"/>
      <w:lang w:eastAsia="pt-BR"/>
    </w:rPr>
  </w:style>
  <w:style w:type="character" w:styleId="Citao2Char" w:customStyle="1">
    <w:name w:val="citação 2 Char"/>
    <w:basedOn w:val="CitaoChar"/>
    <w:link w:val="citao2"/>
    <w:qFormat/>
    <w:rsid w:val="006a70c8"/>
    <w:rPr>
      <w:rFonts w:ascii="Arial" w:hAnsi="Arial" w:eastAsia="Calibri" w:cs="Tahoma"/>
      <w:i/>
      <w:iCs/>
      <w:color w:val="000000"/>
      <w:sz w:val="20"/>
      <w:szCs w:val="20"/>
      <w:shd w:fill="FFFFCC" w:val="clear"/>
    </w:rPr>
  </w:style>
  <w:style w:type="character" w:styleId="QuoteChar" w:customStyle="1">
    <w:name w:val="Quote Char"/>
    <w:basedOn w:val="DefaultParagraphFont"/>
    <w:link w:val="Citao1"/>
    <w:qFormat/>
    <w:rsid w:val="00a728b9"/>
    <w:rPr>
      <w:rFonts w:ascii="Ecofont_Spranq_eco_Sans" w:hAnsi="Ecofont_Spranq_eco_Sans" w:eastAsia="Calibri" w:cs="Tahoma"/>
      <w:i/>
      <w:iCs/>
      <w:color w:val="000000"/>
      <w:shd w:fill="FFFFCC" w:val="clear"/>
    </w:rPr>
  </w:style>
  <w:style w:type="character" w:styleId="Annotationreference">
    <w:name w:val="annotation reference"/>
    <w:basedOn w:val="DefaultParagraphFont"/>
    <w:semiHidden/>
    <w:unhideWhenUsed/>
    <w:qFormat/>
    <w:rsid w:val="003d08af"/>
    <w:rPr>
      <w:sz w:val="16"/>
      <w:szCs w:val="16"/>
    </w:rPr>
  </w:style>
  <w:style w:type="character" w:styleId="TextodecomentrioChar" w:customStyle="1">
    <w:name w:val="Texto de comentário Char"/>
    <w:basedOn w:val="DefaultParagraphFont"/>
    <w:link w:val="Textodecomentrio"/>
    <w:qFormat/>
    <w:rsid w:val="003d08af"/>
    <w:rPr>
      <w:rFonts w:ascii="Arial" w:hAnsi="Arial" w:eastAsia="Times New Roman" w:cs="Tahoma"/>
      <w:sz w:val="20"/>
      <w:szCs w:val="20"/>
      <w:lang w:eastAsia="pt-BR"/>
    </w:rPr>
  </w:style>
  <w:style w:type="character" w:styleId="AssuntodocomentrioChar" w:customStyle="1">
    <w:name w:val="Assunto do comentário Char"/>
    <w:basedOn w:val="TextodecomentrioChar"/>
    <w:link w:val="Assuntodocomentrio"/>
    <w:uiPriority w:val="99"/>
    <w:semiHidden/>
    <w:qFormat/>
    <w:rsid w:val="003d08af"/>
    <w:rPr>
      <w:rFonts w:ascii="Arial" w:hAnsi="Arial" w:eastAsia="Times New Roman" w:cs="Tahoma"/>
      <w:b/>
      <w:bCs/>
      <w:sz w:val="20"/>
      <w:szCs w:val="20"/>
      <w:lang w:eastAsia="pt-BR"/>
    </w:rPr>
  </w:style>
  <w:style w:type="character" w:styleId="LinkdaInternet">
    <w:name w:val="Link da Internet"/>
    <w:rsid w:val="002f5eff"/>
    <w:rPr>
      <w:color w:val="000080"/>
      <w:u w:val="single"/>
    </w:rPr>
  </w:style>
  <w:style w:type="character" w:styleId="Nivel4Char" w:customStyle="1">
    <w:name w:val="Nivel 4 Char"/>
    <w:basedOn w:val="DefaultParagraphFont"/>
    <w:link w:val="Nivel4"/>
    <w:qFormat/>
    <w:rsid w:val="002f5eff"/>
    <w:rPr>
      <w:rFonts w:ascii="Ecofont_Spranq_eco_Sans" w:hAnsi="Ecofont_Spranq_eco_Sans" w:eastAsia="Arial Unicode MS" w:cs="Arial"/>
      <w:sz w:val="20"/>
      <w:szCs w:val="20"/>
      <w:lang w:eastAsia="pt-BR"/>
    </w:rPr>
  </w:style>
  <w:style w:type="character" w:styleId="TextodebaloChar" w:customStyle="1">
    <w:name w:val="Texto de balão Char"/>
    <w:basedOn w:val="DefaultParagraphFont"/>
    <w:link w:val="Textodebalo"/>
    <w:uiPriority w:val="99"/>
    <w:semiHidden/>
    <w:qFormat/>
    <w:rsid w:val="00731d60"/>
    <w:rPr>
      <w:rFonts w:ascii="Segoe UI" w:hAnsi="Segoe UI" w:eastAsia="Times New Roman" w:cs="Segoe UI"/>
      <w:sz w:val="18"/>
      <w:szCs w:val="18"/>
      <w:lang w:eastAsia="pt-BR"/>
    </w:rPr>
  </w:style>
  <w:style w:type="character" w:styleId="CabealhoChar" w:customStyle="1">
    <w:name w:val="Cabeçalho Char"/>
    <w:basedOn w:val="DefaultParagraphFont"/>
    <w:link w:val="Cabealho"/>
    <w:uiPriority w:val="99"/>
    <w:qFormat/>
    <w:rsid w:val="00805244"/>
    <w:rPr>
      <w:rFonts w:ascii="Arial" w:hAnsi="Arial" w:eastAsia="Times New Roman" w:cs="Tahoma"/>
      <w:sz w:val="20"/>
      <w:szCs w:val="24"/>
      <w:lang w:eastAsia="pt-BR"/>
    </w:rPr>
  </w:style>
  <w:style w:type="character" w:styleId="RodapChar" w:customStyle="1">
    <w:name w:val="Rodapé Char"/>
    <w:basedOn w:val="DefaultParagraphFont"/>
    <w:link w:val="Rodap"/>
    <w:uiPriority w:val="99"/>
    <w:qFormat/>
    <w:rsid w:val="00805244"/>
    <w:rPr>
      <w:rFonts w:ascii="Arial" w:hAnsi="Arial" w:eastAsia="Times New Roman" w:cs="Tahoma"/>
      <w:sz w:val="20"/>
      <w:szCs w:val="24"/>
      <w:lang w:eastAsia="pt-BR"/>
    </w:rPr>
  </w:style>
  <w:style w:type="character" w:styleId="Smbolosdenumerao">
    <w:name w:val="Símbolos de numeração"/>
    <w:qFormat/>
    <w:rPr/>
  </w:style>
  <w:style w:type="character" w:styleId="Nfaseforte">
    <w:name w:val="Ênfase forte"/>
    <w:qFormat/>
    <w:rPr>
      <w:b/>
      <w:bCs/>
    </w:rPr>
  </w:style>
  <w:style w:type="paragraph" w:styleId="Ttulo">
    <w:name w:val="Título"/>
    <w:basedOn w:val="Normal"/>
    <w:next w:val="Corpodotexto"/>
    <w:qFormat/>
    <w:pPr>
      <w:keepNext w:val="true"/>
      <w:spacing w:before="240" w:after="120"/>
    </w:pPr>
    <w:rPr>
      <w:rFonts w:ascii="Liberation Sans" w:hAnsi="Liberation Sans" w:eastAsia="Microsoft YaHei" w:cs="Mangal"/>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Mangal"/>
    </w:rPr>
  </w:style>
  <w:style w:type="paragraph" w:styleId="Legenda">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lang w:val="zxx" w:eastAsia="zxx" w:bidi="zxx"/>
    </w:rPr>
  </w:style>
  <w:style w:type="paragraph" w:styleId="Quote">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Nivel01" w:customStyle="1">
    <w:name w:val="Nivel 01"/>
    <w:basedOn w:val="Ttulo1"/>
    <w:next w:val="Normal"/>
    <w:link w:val="Nivel01Char"/>
    <w:qFormat/>
    <w:rsid w:val="009f7713"/>
    <w:pPr>
      <w:spacing w:lineRule="auto" w:line="276" w:before="480" w:after="120"/>
      <w:ind w:right="-15" w:hanging="0"/>
      <w:jc w:val="both"/>
      <w:outlineLvl w:val="9"/>
    </w:pPr>
    <w:rPr>
      <w:rFonts w:ascii="Arial" w:hAnsi="Arial" w:cs="Times New Roman"/>
      <w:b/>
      <w:bCs/>
      <w:color w:val="000000"/>
      <w:sz w:val="20"/>
      <w:szCs w:val="20"/>
    </w:rPr>
  </w:style>
  <w:style w:type="paragraph" w:styleId="PADRO" w:customStyle="1">
    <w:name w:val="PADRÃO"/>
    <w:qFormat/>
    <w:rsid w:val="009f7713"/>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ListParagraph">
    <w:name w:val="List Paragraph"/>
    <w:basedOn w:val="Normal"/>
    <w:uiPriority w:val="34"/>
    <w:qFormat/>
    <w:rsid w:val="006a70c8"/>
    <w:pPr>
      <w:spacing w:before="0" w:after="0"/>
      <w:ind w:left="720" w:hanging="0"/>
      <w:contextualSpacing/>
    </w:pPr>
    <w:rPr/>
  </w:style>
  <w:style w:type="paragraph" w:styleId="Citao2" w:customStyle="1">
    <w:name w:val="citação 2"/>
    <w:basedOn w:val="Quote"/>
    <w:link w:val="citao2Char"/>
    <w:qFormat/>
    <w:rsid w:val="006a70c8"/>
    <w:pPr/>
    <w:rPr>
      <w:szCs w:val="20"/>
    </w:rPr>
  </w:style>
  <w:style w:type="paragraph" w:styleId="Citao1" w:customStyle="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eastAsia="Calibri"/>
      <w:i/>
      <w:iCs/>
      <w:color w:val="000000"/>
      <w:sz w:val="22"/>
      <w:szCs w:val="22"/>
      <w:lang w:eastAsia="en-US"/>
    </w:rPr>
  </w:style>
  <w:style w:type="paragraph" w:styleId="Annotationtext">
    <w:name w:val="annotation text"/>
    <w:basedOn w:val="Normal"/>
    <w:link w:val="TextodecomentrioChar"/>
    <w:unhideWhenUsed/>
    <w:qFormat/>
    <w:rsid w:val="003d08af"/>
    <w:pPr/>
    <w:rPr>
      <w:szCs w:val="20"/>
    </w:rPr>
  </w:style>
  <w:style w:type="paragraph" w:styleId="Annotationsubject">
    <w:name w:val="annotation subject"/>
    <w:basedOn w:val="Annotationtext"/>
    <w:next w:val="Annotationtext"/>
    <w:link w:val="AssuntodocomentrioChar"/>
    <w:uiPriority w:val="99"/>
    <w:semiHidden/>
    <w:unhideWhenUsed/>
    <w:qFormat/>
    <w:rsid w:val="003d08af"/>
    <w:pPr/>
    <w:rPr>
      <w:b/>
      <w:bCs/>
    </w:rPr>
  </w:style>
  <w:style w:type="paragraph" w:styleId="Nivel1" w:customStyle="1">
    <w:name w:val="Nivel1"/>
    <w:basedOn w:val="Ttulo1"/>
    <w:qFormat/>
    <w:rsid w:val="00fa4ef2"/>
    <w:pPr>
      <w:spacing w:lineRule="auto" w:line="276" w:before="480" w:after="0"/>
      <w:ind w:left="644" w:hanging="360"/>
      <w:jc w:val="both"/>
      <w:outlineLvl w:val="9"/>
    </w:pPr>
    <w:rPr>
      <w:rFonts w:ascii="Arial" w:hAnsi="Arial" w:cs="Times New Roman"/>
      <w:b/>
      <w:color w:val="000000"/>
      <w:sz w:val="20"/>
      <w:szCs w:val="20"/>
    </w:rPr>
  </w:style>
  <w:style w:type="paragraph" w:styleId="Nivel2" w:customStyle="1">
    <w:name w:val="Nivel 2"/>
    <w:qFormat/>
    <w:rsid w:val="002f5eff"/>
    <w:pPr>
      <w:widowControl/>
      <w:numPr>
        <w:ilvl w:val="0"/>
        <w:numId w:val="3"/>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rsid w:val="002f5eff"/>
    <w:pPr/>
    <w:rPr>
      <w:rFonts w:cs="Arial"/>
      <w:b/>
    </w:rPr>
  </w:style>
  <w:style w:type="paragraph" w:styleId="Nivel3" w:customStyle="1">
    <w:name w:val="Nivel 3"/>
    <w:basedOn w:val="Nivel2"/>
    <w:qFormat/>
    <w:rsid w:val="002f5eff"/>
    <w:pPr/>
    <w:rPr>
      <w:rFonts w:cs="Arial"/>
      <w:color w:val="000000"/>
    </w:rPr>
  </w:style>
  <w:style w:type="paragraph" w:styleId="Nivel4" w:customStyle="1">
    <w:name w:val="Nivel 4"/>
    <w:basedOn w:val="Nivel3"/>
    <w:link w:val="Nivel4Char"/>
    <w:qFormat/>
    <w:rsid w:val="002f5eff"/>
    <w:pPr/>
    <w:rPr>
      <w:color w:val="auto"/>
    </w:rPr>
  </w:style>
  <w:style w:type="paragraph" w:styleId="Nivel5" w:customStyle="1">
    <w:name w:val="Nivel 5"/>
    <w:basedOn w:val="Nivel4"/>
    <w:qFormat/>
    <w:rsid w:val="002f5eff"/>
    <w:pPr>
      <w:tabs>
        <w:tab w:val="clear" w:pos="708"/>
        <w:tab w:val="left" w:pos="360" w:leader="none"/>
      </w:tabs>
    </w:pPr>
    <w:rPr/>
  </w:style>
  <w:style w:type="paragraph" w:styleId="BalloonText">
    <w:name w:val="Balloon Text"/>
    <w:basedOn w:val="Normal"/>
    <w:link w:val="TextodebaloChar"/>
    <w:uiPriority w:val="99"/>
    <w:semiHidden/>
    <w:unhideWhenUsed/>
    <w:qFormat/>
    <w:rsid w:val="00731d60"/>
    <w:pPr/>
    <w:rPr>
      <w:rFonts w:ascii="Segoe UI" w:hAnsi="Segoe UI" w:cs="Segoe UI"/>
      <w:sz w:val="18"/>
      <w:szCs w:val="18"/>
    </w:rPr>
  </w:style>
  <w:style w:type="paragraph" w:styleId="CabealhoeRodap">
    <w:name w:val="Cabeçalho e Rodapé"/>
    <w:basedOn w:val="Normal"/>
    <w:qFormat/>
    <w:pPr/>
    <w:rPr/>
  </w:style>
  <w:style w:type="paragraph" w:styleId="Cabealho">
    <w:name w:val="Header"/>
    <w:basedOn w:val="Normal"/>
    <w:link w:val="CabealhoChar"/>
    <w:uiPriority w:val="99"/>
    <w:unhideWhenUsed/>
    <w:rsid w:val="00805244"/>
    <w:pPr>
      <w:tabs>
        <w:tab w:val="clear" w:pos="708"/>
        <w:tab w:val="center" w:pos="4252" w:leader="none"/>
        <w:tab w:val="right" w:pos="8504" w:leader="none"/>
      </w:tabs>
    </w:pPr>
    <w:rPr/>
  </w:style>
  <w:style w:type="paragraph" w:styleId="Rodap">
    <w:name w:val="Footer"/>
    <w:basedOn w:val="Normal"/>
    <w:link w:val="RodapChar"/>
    <w:uiPriority w:val="99"/>
    <w:unhideWhenUsed/>
    <w:rsid w:val="00805244"/>
    <w:pPr>
      <w:tabs>
        <w:tab w:val="clear" w:pos="708"/>
        <w:tab w:val="center" w:pos="4252" w:leader="none"/>
        <w:tab w:val="right" w:pos="8504" w:leader="none"/>
      </w:tabs>
    </w:pPr>
    <w:rPr/>
  </w:style>
  <w:style w:type="paragraph" w:styleId="Contedodatabela">
    <w:name w:val="Conteúdo da tabela"/>
    <w:basedOn w:val="Normal"/>
    <w:qFormat/>
    <w:pPr>
      <w:widowControl w:val="false"/>
      <w:suppressLineNumbers/>
    </w:pPr>
    <w:rPr/>
  </w:style>
  <w:style w:type="paragraph" w:styleId="Ttulododocumento">
    <w:name w:val="Title"/>
    <w:basedOn w:val="Normal"/>
    <w:qFormat/>
    <w:pPr>
      <w:spacing w:before="163" w:after="0"/>
      <w:ind w:left="2033" w:right="2315" w:hanging="0"/>
      <w:jc w:val="center"/>
    </w:pPr>
    <w:rPr>
      <w:rFonts w:ascii="Arial" w:hAnsi="Arial" w:eastAsia="Arial" w:cs="Arial"/>
      <w:b/>
      <w:bCs/>
      <w:sz w:val="32"/>
      <w:szCs w:val="32"/>
      <w:lang w:val="pt-PT" w:eastAsia="en-US" w:bidi="ar-SA"/>
    </w:rPr>
  </w:style>
  <w:style w:type="paragraph" w:styleId="Contedodoquadro">
    <w:name w:val="Conteúdo do quadro"/>
    <w:basedOn w:val="Normal"/>
    <w:qFormat/>
    <w:pPr/>
    <w:rPr/>
  </w:style>
  <w:style w:type="paragraph" w:styleId="TableParagraph">
    <w:name w:val="Table Paragraph"/>
    <w:basedOn w:val="Normal"/>
    <w:qFormat/>
    <w:pPr>
      <w:jc w:val="center"/>
    </w:pPr>
    <w:rPr>
      <w:rFonts w:ascii="Arial MT" w:hAnsi="Arial MT" w:eastAsia="Arial MT" w:cs="Arial MT"/>
      <w:lang w:val="pt-PT" w:eastAsia="en-US" w:bidi="ar-SA"/>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2f5eff"/>
    <w:pPr>
      <w:spacing w:after="0" w:line="240" w:lineRule="auto"/>
    </w:pPr>
    <w:rPr>
      <w:rFonts w:eastAsiaTheme="minorEastAsia"/>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cgu.modeloscontratacao@agu.gov.br" TargetMode="External"/><Relationship Id="rId3" Type="http://schemas.openxmlformats.org/officeDocument/2006/relationships/hyperlink" Target="http://www.planalto.gov.br/ccivil_03/LEIS/L6404consol.htm"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footer" Target="footer1.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TotalTime>
  <Application>LibreOffice/7.2.5.2$Windows_X86_64 LibreOffice_project/499f9727c189e6ef3471021d6132d4c694f357e5</Application>
  <AppVersion>15.0000</AppVersion>
  <Pages>19</Pages>
  <Words>8148</Words>
  <Characters>46442</Characters>
  <CharactersWithSpaces>54103</CharactersWithSpaces>
  <Paragraphs>356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2021-08-05T16:35:00Z</dcterms:created>
  <dc:creator>Hugo Sales</dc:creator>
  <dc:description/>
  <dc:language>pt-BR</dc:language>
  <cp:lastModifiedBy/>
  <dcterms:modified xsi:type="dcterms:W3CDTF">2022-05-09T08:54:53Z</dcterms:modified>
  <cp:revision>78</cp:revision>
  <dc:subject/>
  <dc:title/>
</cp:coreProperties>
</file>

<file path=docProps/custom.xml><?xml version="1.0" encoding="utf-8"?>
<Properties xmlns="http://schemas.openxmlformats.org/officeDocument/2006/custom-properties" xmlns:vt="http://schemas.openxmlformats.org/officeDocument/2006/docPropsVTypes"/>
</file>